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924D81">
      <w:pPr>
        <w:widowControl/>
        <w:suppressAutoHyphens w:val="0"/>
        <w:contextualSpacing/>
        <w:rPr>
          <w:rFonts w:eastAsia="Times New Roman" w:cs="Times New Roman"/>
          <w:color w:val="291201"/>
          <w:kern w:val="0"/>
          <w:lang w:val="en-CA" w:eastAsia="en-US" w:bidi="ar-SA"/>
        </w:rPr>
      </w:pPr>
    </w:p>
    <w:p w:rsidR="00924D81" w:rsidRPr="004C3393" w:rsidRDefault="00924D81" w:rsidP="004C3393">
      <w:pPr>
        <w:widowControl/>
        <w:suppressAutoHyphens w:val="0"/>
        <w:contextualSpacing/>
        <w:jc w:val="center"/>
        <w:rPr>
          <w:rFonts w:eastAsia="Times New Roman" w:cs="Times New Roman"/>
          <w:color w:val="291201"/>
          <w:kern w:val="0"/>
          <w:sz w:val="33"/>
          <w:szCs w:val="33"/>
          <w:lang w:val="en-CA" w:eastAsia="en-US" w:bidi="ar-SA"/>
        </w:rPr>
      </w:pPr>
      <w:r w:rsidRPr="004C3393">
        <w:rPr>
          <w:rFonts w:eastAsia="Times New Roman" w:cs="Times New Roman"/>
          <w:color w:val="291201"/>
          <w:kern w:val="0"/>
          <w:sz w:val="33"/>
          <w:szCs w:val="33"/>
          <w:lang w:val="en-CA" w:eastAsia="en-US" w:bidi="ar-SA"/>
        </w:rPr>
        <w:t xml:space="preserve">Why </w:t>
      </w:r>
      <w:r w:rsidR="0071600A">
        <w:rPr>
          <w:rFonts w:eastAsia="Times New Roman" w:cs="Times New Roman"/>
          <w:color w:val="291201"/>
          <w:kern w:val="0"/>
          <w:sz w:val="33"/>
          <w:szCs w:val="33"/>
          <w:lang w:val="en-CA" w:eastAsia="en-US" w:bidi="ar-SA"/>
        </w:rPr>
        <w:t>“</w:t>
      </w:r>
      <w:r w:rsidRPr="004C3393">
        <w:rPr>
          <w:rFonts w:eastAsia="Times New Roman" w:cs="Times New Roman"/>
          <w:color w:val="291201"/>
          <w:kern w:val="0"/>
          <w:sz w:val="33"/>
          <w:szCs w:val="33"/>
          <w:lang w:val="en-CA" w:eastAsia="en-US" w:bidi="ar-SA"/>
        </w:rPr>
        <w:t>Financialization</w:t>
      </w:r>
      <w:r w:rsidR="0071600A">
        <w:rPr>
          <w:rFonts w:eastAsia="Times New Roman" w:cs="Times New Roman"/>
          <w:color w:val="291201"/>
          <w:kern w:val="0"/>
          <w:sz w:val="33"/>
          <w:szCs w:val="33"/>
          <w:lang w:val="en-CA" w:eastAsia="en-US" w:bidi="ar-SA"/>
        </w:rPr>
        <w:t>”</w:t>
      </w:r>
      <w:r w:rsidRPr="004C3393">
        <w:rPr>
          <w:rFonts w:eastAsia="Times New Roman" w:cs="Times New Roman"/>
          <w:color w:val="291201"/>
          <w:kern w:val="0"/>
          <w:sz w:val="33"/>
          <w:szCs w:val="33"/>
          <w:lang w:val="en-CA" w:eastAsia="en-US" w:bidi="ar-SA"/>
        </w:rPr>
        <w:t xml:space="preserve"> Hasn</w:t>
      </w:r>
      <w:r w:rsidR="0071600A">
        <w:rPr>
          <w:rFonts w:eastAsia="Times New Roman" w:cs="Times New Roman"/>
          <w:color w:val="291201"/>
          <w:kern w:val="0"/>
          <w:sz w:val="33"/>
          <w:szCs w:val="33"/>
          <w:lang w:val="en-CA" w:eastAsia="en-US" w:bidi="ar-SA"/>
        </w:rPr>
        <w:t>’</w:t>
      </w:r>
      <w:r w:rsidRPr="004C3393">
        <w:rPr>
          <w:rFonts w:eastAsia="Times New Roman" w:cs="Times New Roman"/>
          <w:color w:val="291201"/>
          <w:kern w:val="0"/>
          <w:sz w:val="33"/>
          <w:szCs w:val="33"/>
          <w:lang w:val="en-CA" w:eastAsia="en-US" w:bidi="ar-SA"/>
        </w:rPr>
        <w:t>t Depressed U.S. Productive Investment</w:t>
      </w:r>
    </w:p>
    <w:p w:rsidR="00924D81" w:rsidRPr="002C651F" w:rsidRDefault="00924D81" w:rsidP="004C3393">
      <w:pPr>
        <w:widowControl/>
        <w:suppressAutoHyphens w:val="0"/>
        <w:contextualSpacing/>
        <w:jc w:val="center"/>
        <w:rPr>
          <w:rFonts w:eastAsia="Times New Roman" w:cs="Times New Roman"/>
          <w:color w:val="291201"/>
          <w:kern w:val="0"/>
          <w:lang w:val="en-CA" w:eastAsia="en-US" w:bidi="ar-SA"/>
        </w:rPr>
      </w:pPr>
    </w:p>
    <w:p w:rsidR="00924D81" w:rsidRDefault="00924D81" w:rsidP="004C3393">
      <w:pPr>
        <w:widowControl/>
        <w:suppressAutoHyphens w:val="0"/>
        <w:ind w:left="2824"/>
        <w:contextualSpacing/>
        <w:rPr>
          <w:rFonts w:eastAsia="Times New Roman" w:cs="Times New Roman"/>
          <w:color w:val="291201"/>
          <w:kern w:val="0"/>
          <w:lang w:val="en-CA" w:eastAsia="en-US" w:bidi="ar-SA"/>
        </w:rPr>
      </w:pPr>
      <w:r>
        <w:rPr>
          <w:rFonts w:eastAsia="Times New Roman" w:cs="Times New Roman"/>
          <w:color w:val="291201"/>
          <w:kern w:val="0"/>
          <w:lang w:val="en-CA" w:eastAsia="en-US" w:bidi="ar-SA"/>
        </w:rPr>
        <w:t xml:space="preserve">Andrew Kliman and </w:t>
      </w:r>
      <w:r w:rsidRPr="002C651F">
        <w:rPr>
          <w:rFonts w:eastAsia="Times New Roman" w:cs="Times New Roman"/>
          <w:color w:val="291201"/>
          <w:kern w:val="0"/>
          <w:lang w:val="en-CA" w:eastAsia="en-US" w:bidi="ar-SA"/>
        </w:rPr>
        <w:t>Shannon D. Williams</w:t>
      </w:r>
    </w:p>
    <w:p w:rsidR="00924D81" w:rsidRDefault="00924D81" w:rsidP="004C3393">
      <w:pPr>
        <w:widowControl/>
        <w:suppressAutoHyphens w:val="0"/>
        <w:ind w:left="3530"/>
        <w:contextualSpacing/>
        <w:rPr>
          <w:rFonts w:eastAsia="Times New Roman" w:cs="Times New Roman"/>
          <w:color w:val="291201"/>
          <w:kern w:val="0"/>
          <w:lang w:val="en-CA" w:eastAsia="en-US" w:bidi="ar-SA"/>
        </w:rPr>
      </w:pPr>
    </w:p>
    <w:p w:rsidR="00924D81" w:rsidRDefault="00924D81" w:rsidP="004C3393">
      <w:pPr>
        <w:widowControl/>
        <w:suppressAutoHyphens w:val="0"/>
        <w:ind w:left="3530"/>
        <w:contextualSpacing/>
        <w:rPr>
          <w:rFonts w:eastAsia="Times New Roman" w:cs="Times New Roman"/>
          <w:color w:val="291201"/>
          <w:kern w:val="0"/>
          <w:lang w:val="en-CA" w:eastAsia="en-US" w:bidi="ar-SA"/>
        </w:rPr>
      </w:pPr>
    </w:p>
    <w:p w:rsidR="00924D81" w:rsidRDefault="00924D81" w:rsidP="004C3393">
      <w:pPr>
        <w:widowControl/>
        <w:suppressAutoHyphens w:val="0"/>
        <w:ind w:left="3530"/>
        <w:contextualSpacing/>
        <w:rPr>
          <w:rFonts w:eastAsia="Times New Roman" w:cs="Times New Roman"/>
          <w:color w:val="291201"/>
          <w:kern w:val="0"/>
          <w:lang w:val="en-CA" w:eastAsia="en-US" w:bidi="ar-SA"/>
        </w:rPr>
      </w:pPr>
    </w:p>
    <w:p w:rsidR="00B52D8F" w:rsidRDefault="00B52D8F" w:rsidP="004A6F82">
      <w:pPr>
        <w:widowControl/>
        <w:suppressAutoHyphens w:val="0"/>
        <w:contextualSpacing/>
        <w:rPr>
          <w:rFonts w:eastAsia="Times New Roman" w:cs="Times New Roman"/>
          <w:color w:val="291201"/>
          <w:kern w:val="0"/>
          <w:lang w:val="en-CA" w:eastAsia="en-US" w:bidi="ar-SA"/>
        </w:rPr>
      </w:pPr>
    </w:p>
    <w:p w:rsidR="00B52D8F" w:rsidRDefault="00B52D8F" w:rsidP="004A6F82">
      <w:pPr>
        <w:widowControl/>
        <w:suppressAutoHyphens w:val="0"/>
        <w:contextualSpacing/>
        <w:rPr>
          <w:rFonts w:eastAsia="Times New Roman" w:cs="Times New Roman"/>
          <w:color w:val="291201"/>
          <w:kern w:val="0"/>
          <w:lang w:val="en-CA" w:eastAsia="en-US" w:bidi="ar-SA"/>
        </w:rPr>
      </w:pPr>
    </w:p>
    <w:p w:rsidR="00B52D8F" w:rsidRDefault="00B52D8F" w:rsidP="004A6F82">
      <w:pPr>
        <w:widowControl/>
        <w:suppressAutoHyphens w:val="0"/>
        <w:contextualSpacing/>
        <w:rPr>
          <w:rFonts w:eastAsia="Times New Roman" w:cs="Times New Roman"/>
          <w:color w:val="291201"/>
          <w:kern w:val="0"/>
          <w:lang w:val="en-CA" w:eastAsia="en-US" w:bidi="ar-SA"/>
        </w:rPr>
      </w:pPr>
    </w:p>
    <w:p w:rsidR="00B52D8F" w:rsidRDefault="00B52D8F" w:rsidP="004A6F82">
      <w:pPr>
        <w:widowControl/>
        <w:suppressAutoHyphens w:val="0"/>
        <w:contextualSpacing/>
        <w:rPr>
          <w:rFonts w:eastAsia="Times New Roman" w:cs="Times New Roman"/>
          <w:color w:val="291201"/>
          <w:kern w:val="0"/>
          <w:lang w:val="en-CA" w:eastAsia="en-US" w:bidi="ar-SA"/>
        </w:rPr>
      </w:pPr>
    </w:p>
    <w:p w:rsidR="00B52D8F" w:rsidRDefault="00B52D8F" w:rsidP="004A6F82">
      <w:pPr>
        <w:widowControl/>
        <w:suppressAutoHyphens w:val="0"/>
        <w:contextualSpacing/>
        <w:rPr>
          <w:rFonts w:eastAsia="Times New Roman" w:cs="Times New Roman"/>
          <w:color w:val="291201"/>
          <w:kern w:val="0"/>
          <w:lang w:val="en-CA" w:eastAsia="en-US" w:bidi="ar-SA"/>
        </w:rPr>
      </w:pPr>
    </w:p>
    <w:p w:rsidR="00B52D8F" w:rsidRDefault="00B52D8F" w:rsidP="004A6F82">
      <w:pPr>
        <w:widowControl/>
        <w:suppressAutoHyphens w:val="0"/>
        <w:contextualSpacing/>
        <w:rPr>
          <w:rFonts w:eastAsia="Times New Roman" w:cs="Times New Roman"/>
          <w:color w:val="291201"/>
          <w:kern w:val="0"/>
          <w:lang w:val="en-CA" w:eastAsia="en-US" w:bidi="ar-SA"/>
        </w:rPr>
      </w:pPr>
    </w:p>
    <w:p w:rsidR="00B52D8F" w:rsidRDefault="00B52D8F" w:rsidP="004A6F82">
      <w:pPr>
        <w:widowControl/>
        <w:suppressAutoHyphens w:val="0"/>
        <w:contextualSpacing/>
        <w:rPr>
          <w:rFonts w:eastAsia="Times New Roman" w:cs="Times New Roman"/>
          <w:color w:val="291201"/>
          <w:kern w:val="0"/>
          <w:lang w:val="en-CA" w:eastAsia="en-US" w:bidi="ar-SA"/>
        </w:rPr>
      </w:pPr>
    </w:p>
    <w:p w:rsidR="00924D81" w:rsidRDefault="00924D81" w:rsidP="004A6F82">
      <w:pPr>
        <w:widowControl/>
        <w:suppressAutoHyphens w:val="0"/>
        <w:contextualSpacing/>
        <w:rPr>
          <w:rFonts w:eastAsia="Times New Roman" w:cs="Times New Roman"/>
          <w:color w:val="291201"/>
          <w:kern w:val="0"/>
          <w:lang w:val="en-CA" w:eastAsia="en-US" w:bidi="ar-SA"/>
        </w:rPr>
      </w:pPr>
      <w:r>
        <w:rPr>
          <w:rFonts w:eastAsia="Times New Roman" w:cs="Times New Roman"/>
          <w:color w:val="291201"/>
          <w:kern w:val="0"/>
          <w:lang w:val="en-CA" w:eastAsia="en-US" w:bidi="ar-SA"/>
        </w:rPr>
        <w:t>Contact information:</w:t>
      </w:r>
    </w:p>
    <w:p w:rsidR="00924D81" w:rsidRDefault="00924D81" w:rsidP="004C3393">
      <w:pPr>
        <w:widowControl/>
        <w:suppressAutoHyphens w:val="0"/>
        <w:ind w:left="706"/>
        <w:contextualSpacing/>
        <w:rPr>
          <w:rFonts w:eastAsia="Times New Roman" w:cs="Times New Roman"/>
          <w:color w:val="291201"/>
          <w:kern w:val="0"/>
          <w:lang w:val="en-CA" w:eastAsia="en-US" w:bidi="ar-SA"/>
        </w:rPr>
      </w:pPr>
    </w:p>
    <w:p w:rsidR="00924D81" w:rsidRDefault="00924D81" w:rsidP="004C3393">
      <w:pPr>
        <w:widowControl/>
        <w:suppressAutoHyphens w:val="0"/>
        <w:ind w:left="706"/>
        <w:contextualSpacing/>
        <w:rPr>
          <w:rFonts w:eastAsia="Times New Roman" w:cs="Times New Roman"/>
          <w:color w:val="291201"/>
          <w:kern w:val="0"/>
          <w:lang w:val="en-CA" w:eastAsia="en-US" w:bidi="ar-SA"/>
        </w:rPr>
      </w:pPr>
      <w:r>
        <w:rPr>
          <w:rFonts w:eastAsia="Times New Roman" w:cs="Times New Roman"/>
          <w:color w:val="291201"/>
          <w:kern w:val="0"/>
          <w:lang w:val="en-CA" w:eastAsia="en-US" w:bidi="ar-SA"/>
        </w:rPr>
        <w:t>Andrew Kliman, Department of Economics, Pace University, 861 Bedford Rd., Pleasantville, NY 10570 USA. Tel: 1 (914) 773-3968. e-mail: akliman@pace.edu.</w:t>
      </w:r>
    </w:p>
    <w:p w:rsidR="00924D81" w:rsidRDefault="00924D81" w:rsidP="004A6F82">
      <w:pPr>
        <w:widowControl/>
        <w:suppressAutoHyphens w:val="0"/>
        <w:contextualSpacing/>
        <w:rPr>
          <w:rFonts w:eastAsia="Times New Roman" w:cs="Times New Roman"/>
          <w:color w:val="291201"/>
          <w:kern w:val="0"/>
          <w:lang w:val="en-CA" w:eastAsia="en-US" w:bidi="ar-SA"/>
        </w:rPr>
      </w:pPr>
    </w:p>
    <w:p w:rsidR="00924D81" w:rsidRPr="002C651F" w:rsidRDefault="00924D81" w:rsidP="004C3393">
      <w:pPr>
        <w:widowControl/>
        <w:suppressAutoHyphens w:val="0"/>
        <w:ind w:left="706"/>
        <w:contextualSpacing/>
        <w:rPr>
          <w:rFonts w:eastAsia="Times New Roman" w:cs="Times New Roman"/>
          <w:color w:val="291201"/>
          <w:kern w:val="0"/>
          <w:lang w:val="en-CA" w:eastAsia="en-US" w:bidi="ar-SA"/>
        </w:rPr>
      </w:pPr>
      <w:r w:rsidRPr="003441C7">
        <w:rPr>
          <w:rFonts w:eastAsia="Times New Roman" w:cs="Times New Roman"/>
          <w:color w:val="291201"/>
          <w:kern w:val="0"/>
          <w:lang w:val="en-CA" w:eastAsia="en-US" w:bidi="ar-SA"/>
        </w:rPr>
        <w:t xml:space="preserve">Shannon D. Williams, Department of Sociology, University of Tennessee, </w:t>
      </w:r>
      <w:r w:rsidR="004C3393" w:rsidRPr="003441C7">
        <w:rPr>
          <w:rFonts w:eastAsia="Times New Roman" w:cs="Times New Roman"/>
          <w:color w:val="291201"/>
          <w:kern w:val="0"/>
          <w:lang w:val="en-CA" w:eastAsia="en-US" w:bidi="ar-SA"/>
        </w:rPr>
        <w:t xml:space="preserve">1007 </w:t>
      </w:r>
      <w:r w:rsidR="004C3393">
        <w:rPr>
          <w:rFonts w:eastAsia="Times New Roman" w:cs="Times New Roman"/>
          <w:color w:val="291201"/>
          <w:kern w:val="0"/>
          <w:lang w:val="en-CA" w:eastAsia="en-US" w:bidi="ar-SA"/>
        </w:rPr>
        <w:t>Repass Dr</w:t>
      </w:r>
      <w:r w:rsidR="003441C7">
        <w:rPr>
          <w:rFonts w:eastAsia="Times New Roman" w:cs="Times New Roman"/>
          <w:color w:val="291201"/>
          <w:kern w:val="0"/>
          <w:lang w:val="en-CA" w:eastAsia="en-US" w:bidi="ar-SA"/>
        </w:rPr>
        <w:t>.,</w:t>
      </w:r>
      <w:r w:rsidR="004C3393">
        <w:rPr>
          <w:rFonts w:eastAsia="Times New Roman" w:cs="Times New Roman"/>
          <w:color w:val="291201"/>
          <w:kern w:val="0"/>
          <w:lang w:val="en-CA" w:eastAsia="en-US" w:bidi="ar-SA"/>
        </w:rPr>
        <w:t xml:space="preserve"> Knoxville, </w:t>
      </w:r>
      <w:r w:rsidR="0071600A">
        <w:rPr>
          <w:rFonts w:eastAsia="Times New Roman" w:cs="Times New Roman"/>
          <w:color w:val="291201"/>
          <w:kern w:val="0"/>
          <w:lang w:val="en-CA" w:eastAsia="en-US" w:bidi="ar-SA"/>
        </w:rPr>
        <w:t xml:space="preserve">TN </w:t>
      </w:r>
      <w:r w:rsidR="004C3393">
        <w:rPr>
          <w:rFonts w:eastAsia="Times New Roman" w:cs="Times New Roman"/>
          <w:color w:val="291201"/>
          <w:kern w:val="0"/>
          <w:lang w:val="en-CA" w:eastAsia="en-US" w:bidi="ar-SA"/>
        </w:rPr>
        <w:t xml:space="preserve">37920 USA. Tel: (865) 573-2762. </w:t>
      </w:r>
      <w:r w:rsidR="003441C7">
        <w:rPr>
          <w:rFonts w:eastAsia="Times New Roman" w:cs="Times New Roman"/>
          <w:color w:val="291201"/>
          <w:kern w:val="0"/>
          <w:lang w:val="en-CA" w:eastAsia="en-US" w:bidi="ar-SA"/>
        </w:rPr>
        <w:t>e</w:t>
      </w:r>
      <w:r w:rsidR="004C3393">
        <w:rPr>
          <w:rFonts w:eastAsia="Times New Roman" w:cs="Times New Roman"/>
          <w:color w:val="291201"/>
          <w:kern w:val="0"/>
          <w:lang w:val="en-CA" w:eastAsia="en-US" w:bidi="ar-SA"/>
        </w:rPr>
        <w:t>-mail: swilli54@utk.edu</w:t>
      </w:r>
    </w:p>
    <w:p w:rsidR="00924D81" w:rsidRPr="002C651F" w:rsidRDefault="00924D81" w:rsidP="00924D81">
      <w:pPr>
        <w:widowControl/>
        <w:suppressAutoHyphens w:val="0"/>
        <w:contextualSpacing/>
        <w:rPr>
          <w:rFonts w:eastAsia="Times New Roman" w:cs="Times New Roman"/>
          <w:color w:val="291201"/>
          <w:kern w:val="0"/>
          <w:lang w:val="en-CA" w:eastAsia="en-US" w:bidi="ar-SA"/>
        </w:rPr>
      </w:pPr>
    </w:p>
    <w:p w:rsidR="00924D81" w:rsidRDefault="00924D81" w:rsidP="002C651F">
      <w:pPr>
        <w:pStyle w:val="BodyText"/>
        <w:spacing w:after="0"/>
        <w:contextualSpacing/>
        <w:rPr>
          <w:rFonts w:cs="Times New Roman"/>
        </w:rPr>
      </w:pPr>
    </w:p>
    <w:p w:rsidR="00924D81" w:rsidRDefault="00924D81" w:rsidP="002C651F">
      <w:pPr>
        <w:pStyle w:val="BodyText"/>
        <w:spacing w:after="0"/>
        <w:contextualSpacing/>
        <w:rPr>
          <w:rFonts w:cs="Times New Roman"/>
        </w:rPr>
      </w:pPr>
    </w:p>
    <w:p w:rsidR="00924D81" w:rsidRDefault="00924D81" w:rsidP="002C651F">
      <w:pPr>
        <w:pStyle w:val="BodyText"/>
        <w:spacing w:after="0"/>
        <w:contextualSpacing/>
        <w:rPr>
          <w:rFonts w:cs="Times New Roman"/>
        </w:rPr>
      </w:pPr>
    </w:p>
    <w:p w:rsidR="00924D81" w:rsidRDefault="00924D81" w:rsidP="002C651F">
      <w:pPr>
        <w:pStyle w:val="BodyText"/>
        <w:spacing w:after="0"/>
        <w:contextualSpacing/>
        <w:rPr>
          <w:rFonts w:cs="Times New Roman"/>
        </w:rPr>
      </w:pPr>
    </w:p>
    <w:p w:rsidR="00B52D8F" w:rsidRPr="00532DB7" w:rsidRDefault="00B52D8F" w:rsidP="00B52D8F">
      <w:pPr>
        <w:pStyle w:val="BodyText"/>
        <w:spacing w:after="0"/>
        <w:contextualSpacing/>
        <w:rPr>
          <w:rFonts w:cs="Times New Roman"/>
        </w:rPr>
      </w:pPr>
      <w:r>
        <w:rPr>
          <w:rFonts w:cs="Times New Roman"/>
        </w:rPr>
        <w:t xml:space="preserve">For presentation at Association for Heterodox Economics conference, Paris, July 2012. </w:t>
      </w:r>
    </w:p>
    <w:p w:rsidR="00924D81" w:rsidRDefault="00924D81" w:rsidP="002C651F">
      <w:pPr>
        <w:pStyle w:val="BodyText"/>
        <w:spacing w:after="0"/>
        <w:contextualSpacing/>
        <w:rPr>
          <w:rFonts w:cs="Times New Roman"/>
        </w:rPr>
      </w:pPr>
    </w:p>
    <w:p w:rsidR="00924D81" w:rsidRDefault="00B52D8F" w:rsidP="002C651F">
      <w:pPr>
        <w:pStyle w:val="BodyText"/>
        <w:spacing w:after="0"/>
        <w:contextualSpacing/>
        <w:rPr>
          <w:rFonts w:cs="Times New Roman"/>
        </w:rPr>
      </w:pPr>
      <w:r>
        <w:rPr>
          <w:rFonts w:cs="Times New Roman"/>
        </w:rPr>
        <w:t>First d</w:t>
      </w:r>
      <w:r w:rsidR="00924D81">
        <w:rPr>
          <w:rFonts w:cs="Times New Roman"/>
        </w:rPr>
        <w:t xml:space="preserve">raft, May 4, 2012. Please do not quote or cite without </w:t>
      </w:r>
      <w:r w:rsidR="00924D81">
        <w:rPr>
          <w:rFonts w:cs="Times New Roman"/>
          <w:i/>
        </w:rPr>
        <w:t xml:space="preserve">first </w:t>
      </w:r>
      <w:r w:rsidR="00924D81">
        <w:rPr>
          <w:rFonts w:cs="Times New Roman"/>
        </w:rPr>
        <w:t>obtaining authors</w:t>
      </w:r>
      <w:r w:rsidR="0071600A">
        <w:rPr>
          <w:rFonts w:cs="Times New Roman"/>
        </w:rPr>
        <w:t>’</w:t>
      </w:r>
      <w:r w:rsidR="00924D81">
        <w:rPr>
          <w:rFonts w:cs="Times New Roman"/>
        </w:rPr>
        <w:t xml:space="preserve"> permission. </w:t>
      </w:r>
    </w:p>
    <w:p w:rsidR="00924D81" w:rsidRDefault="00924D81" w:rsidP="002C651F">
      <w:pPr>
        <w:pStyle w:val="BodyText"/>
        <w:spacing w:after="0"/>
        <w:contextualSpacing/>
        <w:rPr>
          <w:rFonts w:cs="Times New Roman"/>
        </w:rPr>
      </w:pPr>
    </w:p>
    <w:p w:rsidR="00924D81" w:rsidRDefault="00924D81" w:rsidP="002C651F">
      <w:pPr>
        <w:widowControl/>
        <w:suppressAutoHyphens w:val="0"/>
        <w:contextualSpacing/>
        <w:rPr>
          <w:rFonts w:eastAsia="Times New Roman" w:cs="Times New Roman"/>
          <w:color w:val="291201"/>
          <w:kern w:val="0"/>
          <w:lang w:val="en-CA" w:eastAsia="en-US" w:bidi="ar-SA"/>
        </w:rPr>
        <w:sectPr w:rsidR="00924D81" w:rsidSect="002C651F">
          <w:footerReference w:type="default" r:id="rId9"/>
          <w:pgSz w:w="12240" w:h="15840" w:code="1"/>
          <w:pgMar w:top="1440" w:right="1440" w:bottom="1440" w:left="1440" w:header="720" w:footer="720" w:gutter="0"/>
          <w:cols w:space="720"/>
          <w:docGrid w:linePitch="360"/>
        </w:sectPr>
      </w:pPr>
    </w:p>
    <w:p w:rsidR="00B52D8F" w:rsidRDefault="00B52D8F" w:rsidP="003441C7">
      <w:pPr>
        <w:widowControl/>
        <w:suppressAutoHyphens w:val="0"/>
        <w:contextualSpacing/>
        <w:jc w:val="center"/>
        <w:rPr>
          <w:rFonts w:eastAsia="Times New Roman" w:cs="Times New Roman"/>
          <w:b/>
          <w:color w:val="291201"/>
          <w:kern w:val="0"/>
          <w:lang w:val="en-CA" w:eastAsia="en-US" w:bidi="ar-SA"/>
        </w:rPr>
      </w:pPr>
    </w:p>
    <w:p w:rsidR="00B52D8F" w:rsidRDefault="00B52D8F" w:rsidP="003441C7">
      <w:pPr>
        <w:widowControl/>
        <w:suppressAutoHyphens w:val="0"/>
        <w:contextualSpacing/>
        <w:jc w:val="center"/>
        <w:rPr>
          <w:rFonts w:eastAsia="Times New Roman" w:cs="Times New Roman"/>
          <w:b/>
          <w:color w:val="291201"/>
          <w:kern w:val="0"/>
          <w:lang w:val="en-CA" w:eastAsia="en-US" w:bidi="ar-SA"/>
        </w:rPr>
      </w:pPr>
    </w:p>
    <w:p w:rsidR="00B52D8F" w:rsidRDefault="00B52D8F" w:rsidP="003441C7">
      <w:pPr>
        <w:widowControl/>
        <w:suppressAutoHyphens w:val="0"/>
        <w:contextualSpacing/>
        <w:jc w:val="center"/>
        <w:rPr>
          <w:rFonts w:eastAsia="Times New Roman" w:cs="Times New Roman"/>
          <w:b/>
          <w:color w:val="291201"/>
          <w:kern w:val="0"/>
          <w:lang w:val="en-CA" w:eastAsia="en-US" w:bidi="ar-SA"/>
        </w:rPr>
      </w:pPr>
    </w:p>
    <w:p w:rsidR="00B52D8F" w:rsidRDefault="00B52D8F" w:rsidP="003441C7">
      <w:pPr>
        <w:widowControl/>
        <w:suppressAutoHyphens w:val="0"/>
        <w:contextualSpacing/>
        <w:jc w:val="center"/>
        <w:rPr>
          <w:rFonts w:eastAsia="Times New Roman" w:cs="Times New Roman"/>
          <w:b/>
          <w:color w:val="291201"/>
          <w:kern w:val="0"/>
          <w:lang w:val="en-CA" w:eastAsia="en-US" w:bidi="ar-SA"/>
        </w:rPr>
      </w:pPr>
    </w:p>
    <w:p w:rsidR="00B52D8F" w:rsidRDefault="00B52D8F" w:rsidP="003441C7">
      <w:pPr>
        <w:widowControl/>
        <w:suppressAutoHyphens w:val="0"/>
        <w:contextualSpacing/>
        <w:jc w:val="center"/>
        <w:rPr>
          <w:rFonts w:eastAsia="Times New Roman" w:cs="Times New Roman"/>
          <w:b/>
          <w:color w:val="291201"/>
          <w:kern w:val="0"/>
          <w:lang w:val="en-CA" w:eastAsia="en-US" w:bidi="ar-SA"/>
        </w:rPr>
      </w:pPr>
    </w:p>
    <w:p w:rsidR="00B52D8F" w:rsidRDefault="00B52D8F" w:rsidP="003441C7">
      <w:pPr>
        <w:widowControl/>
        <w:suppressAutoHyphens w:val="0"/>
        <w:contextualSpacing/>
        <w:jc w:val="center"/>
        <w:rPr>
          <w:rFonts w:eastAsia="Times New Roman" w:cs="Times New Roman"/>
          <w:b/>
          <w:color w:val="291201"/>
          <w:kern w:val="0"/>
          <w:lang w:val="en-CA" w:eastAsia="en-US" w:bidi="ar-SA"/>
        </w:rPr>
      </w:pPr>
    </w:p>
    <w:p w:rsidR="00B52D8F" w:rsidRDefault="00B52D8F" w:rsidP="003441C7">
      <w:pPr>
        <w:widowControl/>
        <w:suppressAutoHyphens w:val="0"/>
        <w:contextualSpacing/>
        <w:jc w:val="center"/>
        <w:rPr>
          <w:rFonts w:eastAsia="Times New Roman" w:cs="Times New Roman"/>
          <w:b/>
          <w:color w:val="291201"/>
          <w:kern w:val="0"/>
          <w:lang w:val="en-CA" w:eastAsia="en-US" w:bidi="ar-SA"/>
        </w:rPr>
      </w:pPr>
    </w:p>
    <w:p w:rsidR="00026EF2" w:rsidRPr="003441C7" w:rsidRDefault="00026EF2" w:rsidP="003441C7">
      <w:pPr>
        <w:widowControl/>
        <w:suppressAutoHyphens w:val="0"/>
        <w:spacing w:line="480" w:lineRule="auto"/>
        <w:contextualSpacing/>
        <w:jc w:val="center"/>
        <w:rPr>
          <w:rFonts w:eastAsia="Times New Roman" w:cs="Times New Roman"/>
          <w:b/>
          <w:color w:val="291201"/>
          <w:kern w:val="0"/>
          <w:lang w:val="en-CA" w:eastAsia="en-US" w:bidi="ar-SA"/>
        </w:rPr>
      </w:pPr>
      <w:r w:rsidRPr="003441C7">
        <w:rPr>
          <w:rFonts w:eastAsia="Times New Roman" w:cs="Times New Roman"/>
          <w:b/>
          <w:color w:val="291201"/>
          <w:kern w:val="0"/>
          <w:lang w:val="en-CA" w:eastAsia="en-US" w:bidi="ar-SA"/>
        </w:rPr>
        <w:t xml:space="preserve">Why </w:t>
      </w:r>
      <w:r w:rsidR="0071600A">
        <w:rPr>
          <w:rFonts w:eastAsia="Times New Roman" w:cs="Times New Roman"/>
          <w:b/>
          <w:color w:val="291201"/>
          <w:kern w:val="0"/>
          <w:lang w:val="en-CA" w:eastAsia="en-US" w:bidi="ar-SA"/>
        </w:rPr>
        <w:t>“</w:t>
      </w:r>
      <w:r w:rsidRPr="003441C7">
        <w:rPr>
          <w:rFonts w:eastAsia="Times New Roman" w:cs="Times New Roman"/>
          <w:b/>
          <w:color w:val="291201"/>
          <w:kern w:val="0"/>
          <w:lang w:val="en-CA" w:eastAsia="en-US" w:bidi="ar-SA"/>
        </w:rPr>
        <w:t>Financialization</w:t>
      </w:r>
      <w:r w:rsidR="0071600A">
        <w:rPr>
          <w:rFonts w:eastAsia="Times New Roman" w:cs="Times New Roman"/>
          <w:b/>
          <w:color w:val="291201"/>
          <w:kern w:val="0"/>
          <w:lang w:val="en-CA" w:eastAsia="en-US" w:bidi="ar-SA"/>
        </w:rPr>
        <w:t>”</w:t>
      </w:r>
      <w:r w:rsidRPr="003441C7">
        <w:rPr>
          <w:rFonts w:eastAsia="Times New Roman" w:cs="Times New Roman"/>
          <w:b/>
          <w:color w:val="291201"/>
          <w:kern w:val="0"/>
          <w:lang w:val="en-CA" w:eastAsia="en-US" w:bidi="ar-SA"/>
        </w:rPr>
        <w:t xml:space="preserve"> Hasn</w:t>
      </w:r>
      <w:r w:rsidR="0071600A">
        <w:rPr>
          <w:rFonts w:eastAsia="Times New Roman" w:cs="Times New Roman"/>
          <w:b/>
          <w:color w:val="291201"/>
          <w:kern w:val="0"/>
          <w:lang w:val="en-CA" w:eastAsia="en-US" w:bidi="ar-SA"/>
        </w:rPr>
        <w:t>’</w:t>
      </w:r>
      <w:r w:rsidRPr="003441C7">
        <w:rPr>
          <w:rFonts w:eastAsia="Times New Roman" w:cs="Times New Roman"/>
          <w:b/>
          <w:color w:val="291201"/>
          <w:kern w:val="0"/>
          <w:lang w:val="en-CA" w:eastAsia="en-US" w:bidi="ar-SA"/>
        </w:rPr>
        <w:t>t Depressed U.S. Productive Investment</w:t>
      </w:r>
    </w:p>
    <w:p w:rsidR="00026EF2" w:rsidRPr="002C651F" w:rsidRDefault="00026EF2" w:rsidP="003441C7">
      <w:pPr>
        <w:widowControl/>
        <w:suppressAutoHyphens w:val="0"/>
        <w:spacing w:line="480" w:lineRule="auto"/>
        <w:contextualSpacing/>
        <w:jc w:val="center"/>
        <w:rPr>
          <w:rFonts w:eastAsia="Times New Roman" w:cs="Times New Roman"/>
          <w:color w:val="291201"/>
          <w:kern w:val="0"/>
          <w:lang w:val="en-CA" w:eastAsia="en-US" w:bidi="ar-SA"/>
        </w:rPr>
      </w:pPr>
      <w:r w:rsidRPr="002C651F">
        <w:rPr>
          <w:rFonts w:eastAsia="Times New Roman" w:cs="Times New Roman"/>
          <w:color w:val="291201"/>
          <w:kern w:val="0"/>
          <w:lang w:val="en-CA" w:eastAsia="en-US" w:bidi="ar-SA"/>
        </w:rPr>
        <w:t xml:space="preserve">Andrew Kliman and Shannon </w:t>
      </w:r>
      <w:r w:rsidR="00A56D4B" w:rsidRPr="002C651F">
        <w:rPr>
          <w:rFonts w:eastAsia="Times New Roman" w:cs="Times New Roman"/>
          <w:color w:val="291201"/>
          <w:kern w:val="0"/>
          <w:lang w:val="en-CA" w:eastAsia="en-US" w:bidi="ar-SA"/>
        </w:rPr>
        <w:t xml:space="preserve">D. </w:t>
      </w:r>
      <w:r w:rsidRPr="002C651F">
        <w:rPr>
          <w:rFonts w:eastAsia="Times New Roman" w:cs="Times New Roman"/>
          <w:color w:val="291201"/>
          <w:kern w:val="0"/>
          <w:lang w:val="en-CA" w:eastAsia="en-US" w:bidi="ar-SA"/>
        </w:rPr>
        <w:t>Williams</w:t>
      </w:r>
    </w:p>
    <w:p w:rsidR="00026EF2" w:rsidRPr="002C651F" w:rsidRDefault="00026EF2" w:rsidP="003441C7">
      <w:pPr>
        <w:widowControl/>
        <w:suppressAutoHyphens w:val="0"/>
        <w:spacing w:line="480" w:lineRule="auto"/>
        <w:contextualSpacing/>
        <w:rPr>
          <w:rFonts w:eastAsia="Times New Roman" w:cs="Times New Roman"/>
          <w:color w:val="291201"/>
          <w:kern w:val="0"/>
          <w:lang w:val="en-CA" w:eastAsia="en-US" w:bidi="ar-SA"/>
        </w:rPr>
      </w:pPr>
    </w:p>
    <w:p w:rsidR="00026EF2" w:rsidRPr="003441C7" w:rsidRDefault="00026EF2" w:rsidP="003441C7">
      <w:pPr>
        <w:widowControl/>
        <w:suppressAutoHyphens w:val="0"/>
        <w:spacing w:line="480" w:lineRule="auto"/>
        <w:contextualSpacing/>
        <w:jc w:val="center"/>
        <w:rPr>
          <w:rFonts w:eastAsia="Times New Roman" w:cs="Times New Roman"/>
          <w:b/>
          <w:color w:val="291201"/>
          <w:kern w:val="0"/>
          <w:lang w:val="en-CA" w:eastAsia="en-US" w:bidi="ar-SA"/>
        </w:rPr>
      </w:pPr>
      <w:r w:rsidRPr="003441C7">
        <w:rPr>
          <w:rFonts w:eastAsia="Times New Roman" w:cs="Times New Roman"/>
          <w:b/>
          <w:color w:val="291201"/>
          <w:kern w:val="0"/>
          <w:lang w:val="en-CA" w:eastAsia="en-US" w:bidi="ar-SA"/>
        </w:rPr>
        <w:t>Abstract</w:t>
      </w:r>
    </w:p>
    <w:p w:rsidR="00026EF2" w:rsidRPr="002C651F" w:rsidRDefault="00026EF2" w:rsidP="002D056E">
      <w:pPr>
        <w:widowControl/>
        <w:suppressAutoHyphens w:val="0"/>
        <w:spacing w:line="480" w:lineRule="auto"/>
        <w:contextualSpacing/>
        <w:rPr>
          <w:rFonts w:eastAsia="Times New Roman" w:cs="Times New Roman"/>
          <w:color w:val="291201"/>
          <w:kern w:val="0"/>
          <w:lang w:val="en-CA" w:eastAsia="en-US" w:bidi="ar-SA"/>
        </w:rPr>
      </w:pPr>
      <w:r w:rsidRPr="002C651F">
        <w:rPr>
          <w:rFonts w:eastAsia="Times New Roman" w:cs="Times New Roman"/>
          <w:color w:val="291201"/>
          <w:kern w:val="0"/>
          <w:lang w:val="en-CA" w:eastAsia="en-US" w:bidi="ar-SA"/>
        </w:rPr>
        <w:t xml:space="preserve">The rate of capital accumulation in the U.S. has fallen </w:t>
      </w:r>
      <w:r w:rsidR="00AF72AF" w:rsidRPr="002C651F">
        <w:rPr>
          <w:rFonts w:eastAsia="Times New Roman" w:cs="Times New Roman"/>
          <w:color w:val="291201"/>
          <w:kern w:val="0"/>
          <w:lang w:val="en-CA" w:eastAsia="en-US" w:bidi="ar-SA"/>
        </w:rPr>
        <w:t>markedly in</w:t>
      </w:r>
      <w:r w:rsidRPr="002C651F">
        <w:rPr>
          <w:rFonts w:eastAsia="Times New Roman" w:cs="Times New Roman"/>
          <w:color w:val="291201"/>
          <w:kern w:val="0"/>
          <w:lang w:val="en-CA" w:eastAsia="en-US" w:bidi="ar-SA"/>
        </w:rPr>
        <w:t xml:space="preserve"> recent decades. Works in the financialization literature</w:t>
      </w:r>
      <w:r w:rsidR="00886175" w:rsidRPr="002C651F">
        <w:rPr>
          <w:rFonts w:eastAsia="Times New Roman" w:cs="Times New Roman"/>
          <w:color w:val="291201"/>
          <w:kern w:val="0"/>
          <w:lang w:val="en-CA" w:eastAsia="en-US" w:bidi="ar-SA"/>
        </w:rPr>
        <w:t> have</w:t>
      </w:r>
      <w:r w:rsidR="00F806F9">
        <w:rPr>
          <w:rFonts w:eastAsia="Times New Roman" w:cs="Times New Roman"/>
          <w:color w:val="291201"/>
          <w:kern w:val="0"/>
          <w:lang w:val="en-CA" w:eastAsia="en-US" w:bidi="ar-SA"/>
        </w:rPr>
        <w:t xml:space="preserve"> </w:t>
      </w:r>
      <w:r w:rsidR="00F806F9" w:rsidRPr="00F806F9">
        <w:rPr>
          <w:rFonts w:eastAsia="Times New Roman" w:cs="Times New Roman"/>
          <w:color w:val="291201"/>
          <w:kern w:val="0"/>
          <w:lang w:eastAsia="en-US" w:bidi="ar-SA"/>
        </w:rPr>
        <w:t xml:space="preserve"> tried to explain this phenomenon by arguing that rising financial </w:t>
      </w:r>
      <w:r w:rsidR="002D056E">
        <w:rPr>
          <w:rFonts w:eastAsia="Times New Roman" w:cs="Times New Roman"/>
          <w:color w:val="291201"/>
          <w:kern w:val="0"/>
          <w:lang w:eastAsia="en-US" w:bidi="ar-SA"/>
        </w:rPr>
        <w:t xml:space="preserve">payments and purchases </w:t>
      </w:r>
      <w:r w:rsidRPr="002C651F">
        <w:rPr>
          <w:rFonts w:eastAsia="Times New Roman" w:cs="Times New Roman"/>
          <w:color w:val="291201"/>
          <w:kern w:val="0"/>
          <w:lang w:val="en-CA" w:eastAsia="en-US" w:bidi="ar-SA"/>
        </w:rPr>
        <w:t>have come at the expense of productive investment. This paper will show that such arguments are not supported by the data. It will also explain theoretically why rising dividend payments and the growth of corporations</w:t>
      </w:r>
      <w:r w:rsidR="0071600A">
        <w:rPr>
          <w:rFonts w:eastAsia="Times New Roman" w:cs="Times New Roman"/>
          <w:color w:val="291201"/>
          <w:kern w:val="0"/>
          <w:lang w:val="en-CA" w:eastAsia="en-US" w:bidi="ar-SA"/>
        </w:rPr>
        <w:t>’</w:t>
      </w:r>
      <w:r w:rsidRPr="002C651F">
        <w:rPr>
          <w:rFonts w:eastAsia="Times New Roman" w:cs="Times New Roman"/>
          <w:color w:val="291201"/>
          <w:kern w:val="0"/>
          <w:lang w:val="en-CA" w:eastAsia="en-US" w:bidi="ar-SA"/>
        </w:rPr>
        <w:t xml:space="preserve"> portfolio investment is compatible with the fact that corporations</w:t>
      </w:r>
      <w:r w:rsidR="0071600A">
        <w:rPr>
          <w:rFonts w:eastAsia="Times New Roman" w:cs="Times New Roman"/>
          <w:color w:val="291201"/>
          <w:kern w:val="0"/>
          <w:lang w:val="en-CA" w:eastAsia="en-US" w:bidi="ar-SA"/>
        </w:rPr>
        <w:t>’</w:t>
      </w:r>
      <w:r w:rsidRPr="002C651F">
        <w:rPr>
          <w:rFonts w:eastAsia="Times New Roman" w:cs="Times New Roman"/>
          <w:color w:val="291201"/>
          <w:kern w:val="0"/>
          <w:lang w:val="en-CA" w:eastAsia="en-US" w:bidi="ar-SA"/>
        </w:rPr>
        <w:t xml:space="preserve"> productive investment did not decline during the first two decades of </w:t>
      </w:r>
      <w:r w:rsidR="0071600A">
        <w:rPr>
          <w:rFonts w:eastAsia="Times New Roman" w:cs="Times New Roman"/>
          <w:color w:val="291201"/>
          <w:kern w:val="0"/>
          <w:lang w:val="en-CA" w:eastAsia="en-US" w:bidi="ar-SA"/>
        </w:rPr>
        <w:t>“</w:t>
      </w:r>
      <w:r w:rsidRPr="002C651F">
        <w:rPr>
          <w:rFonts w:eastAsia="Times New Roman" w:cs="Times New Roman"/>
          <w:color w:val="291201"/>
          <w:kern w:val="0"/>
          <w:lang w:val="en-CA" w:eastAsia="en-US" w:bidi="ar-SA"/>
        </w:rPr>
        <w:t>neoliberalism</w:t>
      </w:r>
      <w:r w:rsidR="0071600A">
        <w:rPr>
          <w:rFonts w:eastAsia="Times New Roman" w:cs="Times New Roman"/>
          <w:color w:val="291201"/>
          <w:kern w:val="0"/>
          <w:lang w:val="en-CA" w:eastAsia="en-US" w:bidi="ar-SA"/>
        </w:rPr>
        <w:t>”</w:t>
      </w:r>
      <w:r w:rsidRPr="002C651F">
        <w:rPr>
          <w:rFonts w:eastAsia="Times New Roman" w:cs="Times New Roman"/>
          <w:color w:val="291201"/>
          <w:kern w:val="0"/>
          <w:lang w:val="en-CA" w:eastAsia="en-US" w:bidi="ar-SA"/>
        </w:rPr>
        <w:t xml:space="preserve"> in the U.S. There would necessarily be a </w:t>
      </w:r>
      <w:r w:rsidR="008A1A3E" w:rsidRPr="002C651F">
        <w:rPr>
          <w:rFonts w:eastAsia="Times New Roman" w:cs="Times New Roman"/>
          <w:color w:val="291201"/>
          <w:kern w:val="0"/>
          <w:lang w:val="en-CA" w:eastAsia="en-US" w:bidi="ar-SA"/>
        </w:rPr>
        <w:t>trade-off</w:t>
      </w:r>
      <w:r w:rsidRPr="002C651F">
        <w:rPr>
          <w:rFonts w:eastAsia="Times New Roman" w:cs="Times New Roman"/>
          <w:color w:val="291201"/>
          <w:kern w:val="0"/>
          <w:lang w:val="en-CA" w:eastAsia="en-US" w:bidi="ar-SA"/>
        </w:rPr>
        <w:t xml:space="preserve"> between these uses of funds if they were all funded out of current profits, but there is no necessary </w:t>
      </w:r>
      <w:r w:rsidR="008A1A3E" w:rsidRPr="002C651F">
        <w:rPr>
          <w:rFonts w:eastAsia="Times New Roman" w:cs="Times New Roman"/>
          <w:color w:val="291201"/>
          <w:kern w:val="0"/>
          <w:lang w:val="en-CA" w:eastAsia="en-US" w:bidi="ar-SA"/>
        </w:rPr>
        <w:t>trade-off</w:t>
      </w:r>
      <w:r w:rsidRPr="002C651F">
        <w:rPr>
          <w:rFonts w:eastAsia="Times New Roman" w:cs="Times New Roman"/>
          <w:color w:val="291201"/>
          <w:kern w:val="0"/>
          <w:lang w:val="en-CA" w:eastAsia="en-US" w:bidi="ar-SA"/>
        </w:rPr>
        <w:t xml:space="preserve"> because borrowed funds are an additional source. Finally, the paper will show that the fall in U.S. </w:t>
      </w:r>
      <w:r w:rsidR="00C74CB9" w:rsidRPr="002C651F">
        <w:rPr>
          <w:rFonts w:eastAsia="Times New Roman" w:cs="Times New Roman"/>
          <w:color w:val="291201"/>
          <w:kern w:val="0"/>
          <w:lang w:val="en-CA" w:eastAsia="en-US" w:bidi="ar-SA"/>
        </w:rPr>
        <w:t>corporation</w:t>
      </w:r>
      <w:r w:rsidR="00C74CB9">
        <w:rPr>
          <w:rFonts w:eastAsia="Times New Roman" w:cs="Times New Roman"/>
          <w:color w:val="291201"/>
          <w:kern w:val="0"/>
          <w:lang w:val="en-CA" w:eastAsia="en-US" w:bidi="ar-SA"/>
        </w:rPr>
        <w:t>s</w:t>
      </w:r>
      <w:r w:rsidR="0071600A">
        <w:rPr>
          <w:rFonts w:eastAsia="Times New Roman" w:cs="Times New Roman"/>
          <w:color w:val="291201"/>
          <w:kern w:val="0"/>
          <w:lang w:val="en-CA" w:eastAsia="en-US" w:bidi="ar-SA"/>
        </w:rPr>
        <w:t>’</w:t>
      </w:r>
      <w:r w:rsidR="00C74CB9" w:rsidRPr="002C651F">
        <w:rPr>
          <w:rFonts w:eastAsia="Times New Roman" w:cs="Times New Roman"/>
          <w:color w:val="291201"/>
          <w:kern w:val="0"/>
          <w:lang w:val="en-CA" w:eastAsia="en-US" w:bidi="ar-SA"/>
        </w:rPr>
        <w:t xml:space="preserve"> </w:t>
      </w:r>
      <w:r w:rsidRPr="002C651F">
        <w:rPr>
          <w:rFonts w:eastAsia="Times New Roman" w:cs="Times New Roman"/>
          <w:color w:val="291201"/>
          <w:kern w:val="0"/>
          <w:lang w:val="en-CA" w:eastAsia="en-US" w:bidi="ar-SA"/>
        </w:rPr>
        <w:t>rate of profit (rate of return on investment in fixed assets) fully accounts for the fall in their rate of capital accumulation.</w:t>
      </w:r>
    </w:p>
    <w:p w:rsidR="00026EF2" w:rsidRDefault="00026EF2" w:rsidP="003441C7">
      <w:pPr>
        <w:pStyle w:val="BodyText"/>
        <w:spacing w:after="0" w:line="480" w:lineRule="auto"/>
        <w:contextualSpacing/>
        <w:rPr>
          <w:rFonts w:cs="Times New Roman"/>
          <w:b/>
          <w:bCs/>
        </w:rPr>
      </w:pPr>
    </w:p>
    <w:p w:rsidR="00DA6571" w:rsidRDefault="00DA6571" w:rsidP="003441C7">
      <w:pPr>
        <w:pStyle w:val="BodyText"/>
        <w:spacing w:after="0" w:line="480" w:lineRule="auto"/>
        <w:contextualSpacing/>
        <w:rPr>
          <w:rFonts w:cs="Times New Roman"/>
          <w:b/>
          <w:bCs/>
        </w:rPr>
      </w:pPr>
    </w:p>
    <w:p w:rsidR="00B52D8F" w:rsidRDefault="00B52D8F" w:rsidP="003441C7">
      <w:pPr>
        <w:pStyle w:val="BodyText"/>
        <w:spacing w:after="0" w:line="480" w:lineRule="auto"/>
        <w:contextualSpacing/>
        <w:rPr>
          <w:rFonts w:cs="Times New Roman"/>
          <w:b/>
          <w:bCs/>
        </w:rPr>
        <w:sectPr w:rsidR="00B52D8F" w:rsidSect="00B52D8F">
          <w:footerReference w:type="default" r:id="rId10"/>
          <w:pgSz w:w="12240" w:h="15840" w:code="1"/>
          <w:pgMar w:top="1440" w:right="1440" w:bottom="1440" w:left="1440" w:header="720" w:footer="720" w:gutter="0"/>
          <w:pgNumType w:start="1"/>
          <w:cols w:space="720"/>
          <w:docGrid w:linePitch="360"/>
        </w:sectPr>
      </w:pPr>
    </w:p>
    <w:p w:rsidR="002E34C6" w:rsidRPr="002C651F" w:rsidRDefault="00F41C5F" w:rsidP="00701D17">
      <w:pPr>
        <w:pStyle w:val="BodyText"/>
        <w:widowControl/>
        <w:suppressAutoHyphens w:val="0"/>
        <w:spacing w:after="0" w:line="478" w:lineRule="auto"/>
        <w:contextualSpacing/>
        <w:jc w:val="center"/>
        <w:rPr>
          <w:rFonts w:cs="Times New Roman"/>
          <w:b/>
          <w:bCs/>
        </w:rPr>
      </w:pPr>
      <w:r>
        <w:rPr>
          <w:rFonts w:cs="Times New Roman"/>
          <w:b/>
          <w:bCs/>
        </w:rPr>
        <w:lastRenderedPageBreak/>
        <w:t xml:space="preserve">1. </w:t>
      </w:r>
      <w:r w:rsidR="002E34C6" w:rsidRPr="002C651F">
        <w:rPr>
          <w:rFonts w:cs="Times New Roman"/>
          <w:b/>
          <w:bCs/>
        </w:rPr>
        <w:t>Intro</w:t>
      </w:r>
      <w:r>
        <w:rPr>
          <w:rFonts w:cs="Times New Roman"/>
          <w:b/>
          <w:bCs/>
        </w:rPr>
        <w:t>duction</w:t>
      </w:r>
    </w:p>
    <w:p w:rsidR="007F0B22" w:rsidRPr="007F0B22" w:rsidRDefault="002E34C6" w:rsidP="00701D17">
      <w:pPr>
        <w:pStyle w:val="BodyText"/>
        <w:widowControl/>
        <w:suppressAutoHyphens w:val="0"/>
        <w:spacing w:line="478" w:lineRule="auto"/>
        <w:contextualSpacing/>
        <w:rPr>
          <w:rFonts w:cs="Times New Roman"/>
          <w:color w:val="000000"/>
        </w:rPr>
      </w:pPr>
      <w:r w:rsidRPr="002C651F">
        <w:rPr>
          <w:rFonts w:cs="Times New Roman"/>
          <w:color w:val="000000"/>
        </w:rPr>
        <w:t xml:space="preserve">The relationship between financialization and capital accumulation is a topic of considerable and growing interest within political economy. As the rate of capital accumulation has fallen in recent decades, many Marxist and heterodox economists have explained this phenomenon in terms of the increasing </w:t>
      </w:r>
      <w:r w:rsidR="0071600A">
        <w:rPr>
          <w:rFonts w:cs="Times New Roman"/>
          <w:color w:val="000000"/>
        </w:rPr>
        <w:t>“</w:t>
      </w:r>
      <w:r w:rsidRPr="002C651F">
        <w:rPr>
          <w:rFonts w:cs="Times New Roman"/>
          <w:color w:val="000000"/>
        </w:rPr>
        <w:t>financialization</w:t>
      </w:r>
      <w:r w:rsidR="0071600A">
        <w:rPr>
          <w:rFonts w:cs="Times New Roman"/>
          <w:color w:val="000000"/>
        </w:rPr>
        <w:t>”</w:t>
      </w:r>
      <w:r w:rsidRPr="002C651F">
        <w:rPr>
          <w:rFonts w:cs="Times New Roman"/>
          <w:color w:val="000000"/>
        </w:rPr>
        <w:t xml:space="preserve"> of corporations under neoliberalism. These authors argue that corporations</w:t>
      </w:r>
      <w:r w:rsidR="0071600A">
        <w:rPr>
          <w:rFonts w:cs="Times New Roman"/>
          <w:color w:val="000000"/>
        </w:rPr>
        <w:t>’</w:t>
      </w:r>
      <w:r w:rsidRPr="002C651F">
        <w:rPr>
          <w:rFonts w:cs="Times New Roman"/>
          <w:color w:val="000000"/>
        </w:rPr>
        <w:t xml:space="preserve"> increasing involvement in financial markets</w:t>
      </w:r>
      <w:r w:rsidR="00EC4F87" w:rsidRPr="00A737A7">
        <w:rPr>
          <w:rFonts w:cs="Times New Roman"/>
          <w:color w:val="000000"/>
        </w:rPr>
        <w:t>––</w:t>
      </w:r>
      <w:r w:rsidRPr="002C651F">
        <w:rPr>
          <w:rFonts w:cs="Times New Roman"/>
          <w:color w:val="000000"/>
        </w:rPr>
        <w:t xml:space="preserve">under </w:t>
      </w:r>
      <w:r w:rsidR="005A1A40" w:rsidRPr="002C651F">
        <w:rPr>
          <w:rFonts w:cs="Times New Roman"/>
          <w:color w:val="000000"/>
        </w:rPr>
        <w:t xml:space="preserve">what they characterize as </w:t>
      </w:r>
      <w:r w:rsidRPr="002C651F">
        <w:rPr>
          <w:rFonts w:cs="Times New Roman"/>
          <w:color w:val="000000"/>
        </w:rPr>
        <w:t>a distinctive neoliberal model of corporate governance</w:t>
      </w:r>
      <w:r w:rsidR="00EC4F87" w:rsidRPr="00A737A7">
        <w:rPr>
          <w:rFonts w:cs="Times New Roman"/>
          <w:color w:val="000000"/>
        </w:rPr>
        <w:t>––</w:t>
      </w:r>
      <w:r w:rsidRPr="002C651F">
        <w:rPr>
          <w:rFonts w:cs="Times New Roman"/>
          <w:color w:val="000000"/>
        </w:rPr>
        <w:t>has diverted profits from production, thereby leading to a fall in the rate of capital accumulation</w:t>
      </w:r>
      <w:r w:rsidR="007F0B22">
        <w:rPr>
          <w:rFonts w:cs="Times New Roman"/>
          <w:color w:val="000000"/>
        </w:rPr>
        <w:t xml:space="preserve"> (</w:t>
      </w:r>
      <w:r w:rsidR="007F0B22" w:rsidRPr="007F0B22">
        <w:rPr>
          <w:rFonts w:cs="Times New Roman"/>
          <w:color w:val="000000"/>
        </w:rPr>
        <w:t xml:space="preserve">Duménil and Lévy 2004, 2011; Husson, 2008, </w:t>
      </w:r>
      <w:r w:rsidR="00D50F4E">
        <w:rPr>
          <w:rFonts w:cs="Times New Roman"/>
          <w:color w:val="000000"/>
        </w:rPr>
        <w:t xml:space="preserve">2009;  Orhangazi 2007, 2008; </w:t>
      </w:r>
      <w:r w:rsidR="007F0B22" w:rsidRPr="007F0B22">
        <w:rPr>
          <w:rFonts w:cs="Times New Roman"/>
          <w:color w:val="000000"/>
        </w:rPr>
        <w:t>Stockhammer 2004, 2009</w:t>
      </w:r>
      <w:r w:rsidR="00D50F4E">
        <w:rPr>
          <w:rFonts w:cs="Times New Roman"/>
          <w:color w:val="000000"/>
        </w:rPr>
        <w:t>)</w:t>
      </w:r>
      <w:r w:rsidR="007F0B22" w:rsidRPr="007F0B22">
        <w:rPr>
          <w:rFonts w:cs="Times New Roman"/>
          <w:color w:val="000000"/>
        </w:rPr>
        <w:t xml:space="preserve">. </w:t>
      </w:r>
    </w:p>
    <w:p w:rsidR="00695CAE" w:rsidRPr="00A737A7" w:rsidRDefault="002E34C6" w:rsidP="00CB3402">
      <w:pPr>
        <w:pStyle w:val="BodyText"/>
        <w:widowControl/>
        <w:suppressAutoHyphens w:val="0"/>
        <w:spacing w:after="0" w:line="478" w:lineRule="auto"/>
        <w:contextualSpacing/>
        <w:rPr>
          <w:rFonts w:cs="Times New Roman"/>
          <w:color w:val="000000"/>
        </w:rPr>
      </w:pPr>
      <w:r w:rsidRPr="002C651F">
        <w:rPr>
          <w:rFonts w:cs="Times New Roman"/>
          <w:color w:val="000000"/>
        </w:rPr>
        <w:t xml:space="preserve"> </w:t>
      </w:r>
      <w:r w:rsidR="00695CAE">
        <w:rPr>
          <w:rFonts w:cs="Times New Roman"/>
        </w:rPr>
        <w:t>We argue b</w:t>
      </w:r>
      <w:r w:rsidR="00695CAE" w:rsidRPr="002C651F">
        <w:rPr>
          <w:rFonts w:cs="Times New Roman"/>
          <w:color w:val="000000"/>
        </w:rPr>
        <w:t>elow that financialization has not suppressed U.S. productive investment</w:t>
      </w:r>
      <w:r w:rsidR="00695CAE" w:rsidRPr="005957E2">
        <w:rPr>
          <w:rFonts w:cs="Times New Roman"/>
          <w:color w:val="000000"/>
        </w:rPr>
        <w:t xml:space="preserve">. More specifically, we demonstrate that official U.S. government data (from the National Income and Product Accounts and the Flow of Funds Accounts) indicate that there has been no diversion of profit from production to financial markets under neoliberalism. On the contrary, the data indicate that </w:t>
      </w:r>
      <w:r w:rsidR="00695CAE">
        <w:rPr>
          <w:rFonts w:cs="Times New Roman"/>
          <w:color w:val="000000"/>
        </w:rPr>
        <w:t>the</w:t>
      </w:r>
      <w:r w:rsidR="00695CAE" w:rsidRPr="005957E2">
        <w:rPr>
          <w:rFonts w:cs="Times New Roman"/>
          <w:color w:val="000000"/>
        </w:rPr>
        <w:t xml:space="preserve"> share of profit </w:t>
      </w:r>
      <w:r w:rsidR="00695CAE">
        <w:rPr>
          <w:rFonts w:cs="Times New Roman"/>
          <w:color w:val="000000"/>
        </w:rPr>
        <w:t xml:space="preserve">that </w:t>
      </w:r>
      <w:r w:rsidR="00695CAE" w:rsidRPr="005957E2">
        <w:rPr>
          <w:rFonts w:cs="Times New Roman"/>
          <w:color w:val="000000"/>
        </w:rPr>
        <w:t xml:space="preserve">was productively invested </w:t>
      </w:r>
      <w:r w:rsidR="00695CAE">
        <w:rPr>
          <w:rFonts w:cs="Times New Roman"/>
          <w:color w:val="000000"/>
        </w:rPr>
        <w:t xml:space="preserve">was slightly higher </w:t>
      </w:r>
      <w:r w:rsidR="00695CAE" w:rsidRPr="005957E2">
        <w:rPr>
          <w:rFonts w:cs="Times New Roman"/>
          <w:color w:val="000000"/>
        </w:rPr>
        <w:t>during the first two decades of neoliberalism in the U.S.</w:t>
      </w:r>
      <w:r w:rsidR="00695CAE">
        <w:rPr>
          <w:rFonts w:cs="Times New Roman"/>
          <w:color w:val="000000"/>
        </w:rPr>
        <w:t xml:space="preserve"> than during </w:t>
      </w:r>
      <w:r w:rsidR="00226268">
        <w:rPr>
          <w:rFonts w:cs="Times New Roman"/>
          <w:color w:val="000000"/>
        </w:rPr>
        <w:t xml:space="preserve">the </w:t>
      </w:r>
      <w:r w:rsidR="00695CAE">
        <w:rPr>
          <w:rFonts w:cs="Times New Roman"/>
          <w:color w:val="000000"/>
        </w:rPr>
        <w:t>prior three decades.</w:t>
      </w:r>
      <w:r w:rsidR="00695CAE" w:rsidRPr="005957E2">
        <w:rPr>
          <w:rFonts w:cs="Times New Roman"/>
          <w:color w:val="000000"/>
        </w:rPr>
        <w:t xml:space="preserve"> </w:t>
      </w:r>
      <w:r w:rsidR="00743836">
        <w:rPr>
          <w:rFonts w:cs="Times New Roman"/>
          <w:color w:val="000000"/>
        </w:rPr>
        <w:t xml:space="preserve">And because profit was not diverted from production, </w:t>
      </w:r>
      <w:r w:rsidR="00695CAE" w:rsidRPr="005957E2">
        <w:rPr>
          <w:rFonts w:cs="Times New Roman"/>
          <w:color w:val="000000"/>
        </w:rPr>
        <w:t xml:space="preserve">the fall in the rate of accumulation (i.e., the growth rate of accumulated productive investment) </w:t>
      </w:r>
      <w:r w:rsidR="00695CAE">
        <w:rPr>
          <w:rFonts w:cs="Times New Roman"/>
          <w:color w:val="000000"/>
        </w:rPr>
        <w:t xml:space="preserve">over the post-World War II period as a whole </w:t>
      </w:r>
      <w:r w:rsidR="00695CAE" w:rsidRPr="005957E2">
        <w:rPr>
          <w:rFonts w:cs="Times New Roman"/>
          <w:color w:val="000000"/>
        </w:rPr>
        <w:t xml:space="preserve">was due entirely to the fall in </w:t>
      </w:r>
      <w:r w:rsidR="00226268" w:rsidRPr="005957E2">
        <w:rPr>
          <w:rFonts w:cs="Times New Roman"/>
          <w:color w:val="000000"/>
        </w:rPr>
        <w:t>corporations</w:t>
      </w:r>
      <w:r w:rsidR="0071600A">
        <w:rPr>
          <w:rFonts w:cs="Times New Roman"/>
          <w:color w:val="000000"/>
        </w:rPr>
        <w:t>’</w:t>
      </w:r>
      <w:r w:rsidR="00226268" w:rsidRPr="005957E2">
        <w:rPr>
          <w:rFonts w:cs="Times New Roman"/>
          <w:color w:val="000000"/>
        </w:rPr>
        <w:t xml:space="preserve"> </w:t>
      </w:r>
      <w:r w:rsidR="00695CAE" w:rsidRPr="005957E2">
        <w:rPr>
          <w:rFonts w:cs="Times New Roman"/>
          <w:color w:val="000000"/>
        </w:rPr>
        <w:t>rate of profit.</w:t>
      </w:r>
    </w:p>
    <w:p w:rsidR="00695CAE" w:rsidRPr="005957E2" w:rsidRDefault="00695CAE" w:rsidP="00701D17">
      <w:pPr>
        <w:pStyle w:val="BodyText"/>
        <w:widowControl/>
        <w:suppressAutoHyphens w:val="0"/>
        <w:spacing w:after="0" w:line="478" w:lineRule="auto"/>
        <w:contextualSpacing/>
        <w:rPr>
          <w:rFonts w:cs="Times New Roman"/>
          <w:color w:val="000000"/>
        </w:rPr>
      </w:pPr>
      <w:r>
        <w:rPr>
          <w:rFonts w:cs="Times New Roman"/>
          <w:color w:val="000000"/>
        </w:rPr>
        <w:tab/>
      </w:r>
      <w:r w:rsidRPr="005957E2">
        <w:rPr>
          <w:rFonts w:cs="Times New Roman"/>
          <w:color w:val="000000"/>
        </w:rPr>
        <w:t xml:space="preserve">This finding may seem to contradict the fact that corporations have substantially increased their involvement in financial markets, as measured, for instance, by the increase in their financial assets as a share of their total assets, and by the increase in their financial payments relative to profits. However, we argue, there is actually no contradiction between these phenomena and the fact that profit was not diverted from investment in production to financial markets. The reason why no contradiction exists is that </w:t>
      </w:r>
      <w:r w:rsidRPr="005957E2">
        <w:rPr>
          <w:rFonts w:cs="Times New Roman"/>
          <w:i/>
          <w:color w:val="000000"/>
        </w:rPr>
        <w:t>the substantial increase in corporations</w:t>
      </w:r>
      <w:r w:rsidR="0071600A">
        <w:rPr>
          <w:rFonts w:cs="Times New Roman"/>
          <w:i/>
          <w:color w:val="000000"/>
        </w:rPr>
        <w:t>’</w:t>
      </w:r>
      <w:r w:rsidRPr="005957E2">
        <w:rPr>
          <w:rFonts w:cs="Times New Roman"/>
          <w:i/>
          <w:color w:val="000000"/>
        </w:rPr>
        <w:t xml:space="preserve"> </w:t>
      </w:r>
      <w:r w:rsidRPr="005957E2">
        <w:rPr>
          <w:rFonts w:cs="Times New Roman"/>
          <w:i/>
          <w:color w:val="000000"/>
        </w:rPr>
        <w:lastRenderedPageBreak/>
        <w:t>financial acquisitions has been funded by means of borrowing</w:t>
      </w:r>
      <w:r w:rsidRPr="005957E2">
        <w:rPr>
          <w:rFonts w:cs="Times New Roman"/>
          <w:color w:val="000000"/>
        </w:rPr>
        <w:t>.</w:t>
      </w:r>
      <w:r w:rsidRPr="005957E2">
        <w:rPr>
          <w:rStyle w:val="FootnoteReference"/>
          <w:rFonts w:cs="Times New Roman"/>
          <w:color w:val="000000"/>
        </w:rPr>
        <w:footnoteReference w:id="1"/>
      </w:r>
      <w:r w:rsidRPr="005957E2">
        <w:rPr>
          <w:rFonts w:cs="Times New Roman"/>
          <w:color w:val="000000"/>
        </w:rPr>
        <w:t xml:space="preserve"> Our analysis demonstrates that, in the era of </w:t>
      </w:r>
      <w:r w:rsidR="0071600A">
        <w:rPr>
          <w:rFonts w:cs="Times New Roman"/>
          <w:color w:val="000000"/>
        </w:rPr>
        <w:t>“</w:t>
      </w:r>
      <w:r w:rsidRPr="005957E2">
        <w:rPr>
          <w:rFonts w:cs="Times New Roman"/>
          <w:color w:val="000000"/>
        </w:rPr>
        <w:t>neoliberalism</w:t>
      </w:r>
      <w:r w:rsidR="0071600A">
        <w:rPr>
          <w:rFonts w:cs="Times New Roman"/>
          <w:color w:val="000000"/>
        </w:rPr>
        <w:t>”</w:t>
      </w:r>
      <w:r w:rsidRPr="005957E2">
        <w:rPr>
          <w:rFonts w:cs="Times New Roman"/>
          <w:color w:val="000000"/>
        </w:rPr>
        <w:t xml:space="preserve"> and </w:t>
      </w:r>
      <w:r w:rsidR="0071600A">
        <w:rPr>
          <w:rFonts w:cs="Times New Roman"/>
          <w:color w:val="000000"/>
        </w:rPr>
        <w:t>“</w:t>
      </w:r>
      <w:r w:rsidRPr="005957E2">
        <w:rPr>
          <w:rFonts w:cs="Times New Roman"/>
          <w:color w:val="000000"/>
        </w:rPr>
        <w:t>financialization,</w:t>
      </w:r>
      <w:r w:rsidR="0071600A">
        <w:rPr>
          <w:rFonts w:cs="Times New Roman"/>
          <w:color w:val="000000"/>
        </w:rPr>
        <w:t>”</w:t>
      </w:r>
      <w:r w:rsidRPr="005957E2">
        <w:rPr>
          <w:rFonts w:cs="Times New Roman"/>
          <w:color w:val="000000"/>
        </w:rPr>
        <w:t xml:space="preserve"> corporate profit has become less important, and borrowing has become more important, as a source of funds for financial expenditures. Additionally, we find that higher dividend payments do not lead to a statistically significant decline in productive investment, and that corporations</w:t>
      </w:r>
      <w:r w:rsidR="0071600A">
        <w:rPr>
          <w:rFonts w:cs="Times New Roman"/>
          <w:color w:val="000000"/>
        </w:rPr>
        <w:t>’</w:t>
      </w:r>
      <w:r w:rsidRPr="005957E2">
        <w:rPr>
          <w:rFonts w:cs="Times New Roman"/>
          <w:color w:val="000000"/>
        </w:rPr>
        <w:t xml:space="preserve"> access to and use of borrowed funds accounts for the absence of a tradeoff between paying dividends and investing in production. </w:t>
      </w:r>
    </w:p>
    <w:p w:rsidR="00695CAE" w:rsidRPr="005957E2" w:rsidRDefault="00695CAE" w:rsidP="00701D17">
      <w:pPr>
        <w:pStyle w:val="BodyText"/>
        <w:widowControl/>
        <w:suppressAutoHyphens w:val="0"/>
        <w:spacing w:after="0" w:line="478" w:lineRule="auto"/>
        <w:contextualSpacing/>
        <w:rPr>
          <w:rFonts w:cs="Times New Roman"/>
          <w:color w:val="000000"/>
        </w:rPr>
      </w:pPr>
      <w:r>
        <w:rPr>
          <w:rFonts w:cs="Times New Roman"/>
          <w:color w:val="000000"/>
        </w:rPr>
        <w:tab/>
        <w:t xml:space="preserve">In the remainder of this introduction, we briefly survey the prior literature on the issue, discuss the aspects of it that we do and do not contest, and clarify </w:t>
      </w:r>
      <w:r w:rsidR="00D909C6">
        <w:rPr>
          <w:rFonts w:cs="Times New Roman"/>
          <w:color w:val="000000"/>
        </w:rPr>
        <w:t xml:space="preserve">what </w:t>
      </w:r>
      <w:r w:rsidR="00763965">
        <w:rPr>
          <w:rFonts w:cs="Times New Roman"/>
          <w:color w:val="000000"/>
        </w:rPr>
        <w:t>exactly</w:t>
      </w:r>
      <w:r w:rsidR="00D909C6">
        <w:rPr>
          <w:rFonts w:cs="Times New Roman"/>
          <w:color w:val="000000"/>
        </w:rPr>
        <w:t xml:space="preserve"> we mean when we deny that financialization has diverted funds from </w:t>
      </w:r>
      <w:r w:rsidR="00763965">
        <w:rPr>
          <w:rFonts w:cs="Times New Roman"/>
          <w:color w:val="000000"/>
        </w:rPr>
        <w:t>investment</w:t>
      </w:r>
      <w:r w:rsidR="00D909C6">
        <w:rPr>
          <w:rFonts w:cs="Times New Roman"/>
          <w:color w:val="000000"/>
        </w:rPr>
        <w:t xml:space="preserve"> in production. Section 2 </w:t>
      </w:r>
      <w:r>
        <w:rPr>
          <w:rFonts w:cs="Times New Roman"/>
          <w:color w:val="000000"/>
        </w:rPr>
        <w:t>of the paper surveys financialization trends. In the third section, we discuss the fact that profit is not the only source of funds for financial payments and we stress the important role played by an additional source, borrowed funds. The fourth section builds on that discussion to show that, notwithstanding the relative growth of financial activity, neoliberalism</w:t>
      </w:r>
      <w:r w:rsidR="00D909C6">
        <w:rPr>
          <w:rFonts w:cs="Times New Roman"/>
          <w:color w:val="000000"/>
        </w:rPr>
        <w:t xml:space="preserve"> </w:t>
      </w:r>
      <w:r>
        <w:rPr>
          <w:rFonts w:cs="Times New Roman"/>
          <w:color w:val="000000"/>
        </w:rPr>
        <w:t xml:space="preserve">did not cause U.S. corporations to divert profits from productive investment toward financial uses. Productive investment did fall as a share of profit after the early 1980s, but not because profits were diverted away from production under neoliberalism. Rather, </w:t>
      </w:r>
      <w:r w:rsidR="00D909C6">
        <w:rPr>
          <w:rFonts w:cs="Times New Roman"/>
          <w:color w:val="000000"/>
        </w:rPr>
        <w:t xml:space="preserve">the investment share of profit fell </w:t>
      </w:r>
      <w:r>
        <w:rPr>
          <w:rFonts w:cs="Times New Roman"/>
          <w:color w:val="000000"/>
        </w:rPr>
        <w:t xml:space="preserve">because it was unusually and unsustainably high at the start of the 1980s, and the fall </w:t>
      </w:r>
      <w:r w:rsidR="00D909C6">
        <w:rPr>
          <w:rFonts w:cs="Times New Roman"/>
          <w:color w:val="000000"/>
        </w:rPr>
        <w:t xml:space="preserve">brought it back </w:t>
      </w:r>
      <w:r>
        <w:rPr>
          <w:rFonts w:cs="Times New Roman"/>
          <w:color w:val="000000"/>
        </w:rPr>
        <w:t xml:space="preserve">to </w:t>
      </w:r>
      <w:r>
        <w:rPr>
          <w:rFonts w:cs="Times New Roman"/>
          <w:i/>
          <w:color w:val="000000"/>
        </w:rPr>
        <w:t xml:space="preserve">normal </w:t>
      </w:r>
      <w:r>
        <w:rPr>
          <w:rFonts w:cs="Times New Roman"/>
          <w:color w:val="000000"/>
        </w:rPr>
        <w:t>levels through 2001.</w:t>
      </w:r>
      <w:r>
        <w:rPr>
          <w:rStyle w:val="FootnoteReference"/>
          <w:rFonts w:cs="Times New Roman"/>
          <w:color w:val="000000"/>
        </w:rPr>
        <w:footnoteReference w:id="2"/>
      </w:r>
      <w:r>
        <w:rPr>
          <w:rFonts w:cs="Times New Roman"/>
          <w:color w:val="000000"/>
        </w:rPr>
        <w:t xml:space="preserve"> Section 5 shows that the entire fall in corporations</w:t>
      </w:r>
      <w:r w:rsidR="0071600A">
        <w:rPr>
          <w:rFonts w:cs="Times New Roman"/>
          <w:color w:val="000000"/>
        </w:rPr>
        <w:t>’</w:t>
      </w:r>
      <w:r>
        <w:rPr>
          <w:rFonts w:cs="Times New Roman"/>
          <w:color w:val="000000"/>
        </w:rPr>
        <w:t xml:space="preserve"> rate of </w:t>
      </w:r>
      <w:r>
        <w:rPr>
          <w:rFonts w:cs="Times New Roman"/>
          <w:color w:val="000000"/>
        </w:rPr>
        <w:lastRenderedPageBreak/>
        <w:t xml:space="preserve">accumulation of fixed assets during the post-World War II period is attributable to a decline in their rate of profit (after-tax). In addition, </w:t>
      </w:r>
      <w:r w:rsidR="00D909C6">
        <w:rPr>
          <w:rFonts w:cs="Times New Roman"/>
          <w:color w:val="000000"/>
        </w:rPr>
        <w:t xml:space="preserve">none of the </w:t>
      </w:r>
      <w:r>
        <w:rPr>
          <w:rFonts w:cs="Times New Roman"/>
          <w:color w:val="000000"/>
        </w:rPr>
        <w:t xml:space="preserve">sharp fall in the rate of accumulation that took place between 1979 and 2001 was </w:t>
      </w:r>
      <w:r w:rsidR="00D909C6">
        <w:rPr>
          <w:rFonts w:cs="Times New Roman"/>
          <w:color w:val="000000"/>
        </w:rPr>
        <w:t xml:space="preserve">due to financialization or neoliberalism; more than half of the fall is attributable to the decline in </w:t>
      </w:r>
      <w:r>
        <w:rPr>
          <w:rFonts w:cs="Times New Roman"/>
          <w:color w:val="000000"/>
        </w:rPr>
        <w:t xml:space="preserve">the rate of profit, while the remainder </w:t>
      </w:r>
      <w:r w:rsidR="00D909C6">
        <w:rPr>
          <w:rFonts w:cs="Times New Roman"/>
          <w:color w:val="000000"/>
        </w:rPr>
        <w:t xml:space="preserve">is attributable </w:t>
      </w:r>
      <w:r>
        <w:rPr>
          <w:rFonts w:cs="Times New Roman"/>
          <w:color w:val="000000"/>
        </w:rPr>
        <w:t xml:space="preserve">to the fact that the investment share of profit returned to normal levels. Section 6 </w:t>
      </w:r>
      <w:r w:rsidR="007D14D1">
        <w:rPr>
          <w:rFonts w:cs="Times New Roman"/>
          <w:color w:val="000000"/>
        </w:rPr>
        <w:t>summarizes our key findings and offers a brief conclusion. D</w:t>
      </w:r>
      <w:r>
        <w:rPr>
          <w:rFonts w:cs="Times New Roman"/>
          <w:color w:val="000000"/>
        </w:rPr>
        <w:t xml:space="preserve">ata sources and computations are described in the Appendix. </w:t>
      </w:r>
    </w:p>
    <w:p w:rsidR="00695CAE" w:rsidRDefault="00695CAE" w:rsidP="00763965">
      <w:pPr>
        <w:pStyle w:val="BodyText"/>
        <w:widowControl/>
        <w:suppressAutoHyphens w:val="0"/>
        <w:spacing w:after="0" w:line="480" w:lineRule="auto"/>
        <w:contextualSpacing/>
        <w:rPr>
          <w:rFonts w:cs="Times New Roman"/>
          <w:color w:val="000000"/>
        </w:rPr>
      </w:pPr>
    </w:p>
    <w:p w:rsidR="00D909C6" w:rsidRPr="00763965" w:rsidRDefault="00D909C6" w:rsidP="00763965">
      <w:pPr>
        <w:pStyle w:val="BodyText"/>
        <w:widowControl/>
        <w:suppressAutoHyphens w:val="0"/>
        <w:spacing w:after="0" w:line="480" w:lineRule="auto"/>
        <w:contextualSpacing/>
        <w:rPr>
          <w:rFonts w:cs="Times New Roman"/>
          <w:color w:val="000000"/>
          <w:u w:val="single"/>
        </w:rPr>
      </w:pPr>
      <w:r w:rsidRPr="00763965">
        <w:rPr>
          <w:rFonts w:cs="Times New Roman"/>
          <w:color w:val="000000"/>
          <w:u w:val="single"/>
        </w:rPr>
        <w:t>Prior Literature</w:t>
      </w:r>
    </w:p>
    <w:p w:rsidR="00B52D8F" w:rsidRDefault="002E34C6" w:rsidP="00763965">
      <w:pPr>
        <w:widowControl/>
        <w:suppressAutoHyphens w:val="0"/>
        <w:autoSpaceDE w:val="0"/>
        <w:autoSpaceDN w:val="0"/>
        <w:adjustRightInd w:val="0"/>
        <w:spacing w:line="480" w:lineRule="auto"/>
        <w:contextualSpacing/>
        <w:rPr>
          <w:rFonts w:cs="Times New Roman"/>
          <w:color w:val="000000"/>
        </w:rPr>
      </w:pPr>
      <w:r w:rsidRPr="002C651F">
        <w:rPr>
          <w:rFonts w:cs="Times New Roman"/>
          <w:color w:val="000000"/>
        </w:rPr>
        <w:t>Stockhammer (2004</w:t>
      </w:r>
      <w:r w:rsidR="00D909C6">
        <w:rPr>
          <w:rFonts w:cs="Times New Roman"/>
          <w:color w:val="000000"/>
        </w:rPr>
        <w:t xml:space="preserve"> </w:t>
      </w:r>
      <w:r w:rsidR="00D909C6" w:rsidRPr="002C651F">
        <w:rPr>
          <w:rFonts w:cs="Times New Roman"/>
          <w:color w:val="000000"/>
        </w:rPr>
        <w:t>argue</w:t>
      </w:r>
      <w:r w:rsidR="00D909C6">
        <w:rPr>
          <w:rFonts w:cs="Times New Roman"/>
          <w:color w:val="000000"/>
        </w:rPr>
        <w:t>d</w:t>
      </w:r>
      <w:r w:rsidR="00D909C6" w:rsidRPr="002C651F">
        <w:rPr>
          <w:rFonts w:cs="Times New Roman"/>
          <w:color w:val="000000"/>
        </w:rPr>
        <w:t xml:space="preserve"> </w:t>
      </w:r>
      <w:r w:rsidR="00D909C6">
        <w:rPr>
          <w:rFonts w:cs="Times New Roman"/>
          <w:color w:val="000000"/>
        </w:rPr>
        <w:t xml:space="preserve">that the decline in the rate of accumulation was caused by </w:t>
      </w:r>
      <w:r w:rsidRPr="002C651F">
        <w:rPr>
          <w:rFonts w:cs="Times New Roman"/>
          <w:color w:val="000000"/>
        </w:rPr>
        <w:t xml:space="preserve">a fundamental shift in the priorities of corporate management </w:t>
      </w:r>
      <w:r w:rsidR="00D909C6">
        <w:rPr>
          <w:rFonts w:cs="Times New Roman"/>
          <w:color w:val="000000"/>
        </w:rPr>
        <w:t xml:space="preserve">that </w:t>
      </w:r>
      <w:r w:rsidR="005A1A40" w:rsidRPr="002C651F">
        <w:rPr>
          <w:rFonts w:cs="Times New Roman"/>
          <w:color w:val="000000"/>
        </w:rPr>
        <w:t xml:space="preserve">has taken place </w:t>
      </w:r>
      <w:r w:rsidRPr="002C651F">
        <w:rPr>
          <w:rFonts w:cs="Times New Roman"/>
          <w:color w:val="000000"/>
        </w:rPr>
        <w:t>under neoliberalism</w:t>
      </w:r>
      <w:r w:rsidR="005A1A40" w:rsidRPr="002C651F">
        <w:rPr>
          <w:rFonts w:cs="Times New Roman"/>
          <w:color w:val="000000"/>
        </w:rPr>
        <w:t xml:space="preserve">; </w:t>
      </w:r>
      <w:r w:rsidRPr="002C651F">
        <w:rPr>
          <w:rFonts w:cs="Times New Roman"/>
          <w:color w:val="000000"/>
        </w:rPr>
        <w:t xml:space="preserve">corporations </w:t>
      </w:r>
      <w:r w:rsidR="005A1A40" w:rsidRPr="002C651F">
        <w:rPr>
          <w:rFonts w:cs="Times New Roman"/>
          <w:color w:val="000000"/>
        </w:rPr>
        <w:t xml:space="preserve">have </w:t>
      </w:r>
      <w:r w:rsidRPr="002C651F">
        <w:rPr>
          <w:rFonts w:cs="Times New Roman"/>
          <w:color w:val="000000"/>
        </w:rPr>
        <w:t>become increasingly renter-like, using their profit to purchase financial assets instead of productive assets.</w:t>
      </w:r>
    </w:p>
    <w:p w:rsidR="006272C1" w:rsidRDefault="002E34C6" w:rsidP="00763965">
      <w:pPr>
        <w:widowControl/>
        <w:suppressAutoHyphens w:val="0"/>
        <w:autoSpaceDE w:val="0"/>
        <w:autoSpaceDN w:val="0"/>
        <w:adjustRightInd w:val="0"/>
        <w:ind w:firstLine="706"/>
        <w:contextualSpacing/>
        <w:rPr>
          <w:rFonts w:cs="Times New Roman"/>
          <w:color w:val="000000"/>
        </w:rPr>
      </w:pPr>
      <w:r w:rsidRPr="002C651F">
        <w:rPr>
          <w:rFonts w:cs="Times New Roman"/>
          <w:color w:val="000000"/>
        </w:rPr>
        <w:t xml:space="preserve"> </w:t>
      </w:r>
    </w:p>
    <w:p w:rsidR="00C74CB9" w:rsidRDefault="006272C1" w:rsidP="00763965">
      <w:pPr>
        <w:widowControl/>
        <w:suppressAutoHyphens w:val="0"/>
        <w:spacing w:line="480" w:lineRule="auto"/>
        <w:ind w:left="706"/>
        <w:rPr>
          <w:rFonts w:eastAsia="Times New Roman" w:cs="Times New Roman"/>
          <w:kern w:val="0"/>
          <w:lang w:eastAsia="en-US" w:bidi="ar-SA"/>
        </w:rPr>
      </w:pPr>
      <w:r w:rsidRPr="002C651F">
        <w:rPr>
          <w:rFonts w:eastAsia="Times New Roman" w:cs="Times New Roman"/>
          <w:kern w:val="0"/>
          <w:lang w:eastAsia="en-US" w:bidi="ar-SA"/>
        </w:rPr>
        <w:t>Over the past decades financial investment of non-financial businesses has been rising and accumulation of capital goods has been declining… [Primarily because] [f]inancialization, the shareholder revolution and the development of a market for corporate control have shifted power to shareholders and thus changed management priorities, leading to a reduction in the desired growth rate.</w:t>
      </w:r>
    </w:p>
    <w:p w:rsidR="00C74CB9" w:rsidRDefault="00C74CB9" w:rsidP="004A6F82">
      <w:pPr>
        <w:widowControl/>
        <w:suppressAutoHyphens w:val="0"/>
        <w:ind w:left="706"/>
        <w:rPr>
          <w:rFonts w:eastAsia="Times New Roman" w:cs="Times New Roman"/>
          <w:kern w:val="0"/>
          <w:lang w:eastAsia="en-US" w:bidi="ar-SA"/>
        </w:rPr>
      </w:pPr>
    </w:p>
    <w:p w:rsidR="0074737D" w:rsidRPr="002C651F" w:rsidRDefault="006272C1" w:rsidP="00763965">
      <w:pPr>
        <w:widowControl/>
        <w:suppressAutoHyphens w:val="0"/>
        <w:spacing w:line="480" w:lineRule="auto"/>
        <w:ind w:left="706"/>
        <w:rPr>
          <w:rFonts w:eastAsia="Times New Roman" w:cs="Times New Roman"/>
          <w:kern w:val="0"/>
          <w:lang w:eastAsia="en-US" w:bidi="ar-SA"/>
        </w:rPr>
      </w:pPr>
      <w:r w:rsidRPr="002C651F">
        <w:rPr>
          <w:rFonts w:eastAsia="Times New Roman" w:cs="Times New Roman"/>
          <w:kern w:val="0"/>
          <w:lang w:eastAsia="en-US" w:bidi="ar-SA"/>
        </w:rPr>
        <w:t>For France, financialization explains the entire slowdown in accumulation, for the USA about one third of the slowdown. [</w:t>
      </w:r>
      <w:r w:rsidRPr="002C651F">
        <w:rPr>
          <w:rFonts w:cs="Times New Roman"/>
          <w:color w:val="000000"/>
        </w:rPr>
        <w:t>Stockhammer 2004, p. 2, p. 31]</w:t>
      </w:r>
    </w:p>
    <w:p w:rsidR="002E34C6" w:rsidRPr="00A737A7" w:rsidRDefault="002E34C6" w:rsidP="00EC1E7C">
      <w:pPr>
        <w:widowControl/>
        <w:suppressAutoHyphens w:val="0"/>
        <w:spacing w:line="480" w:lineRule="auto"/>
        <w:ind w:firstLine="706"/>
        <w:rPr>
          <w:rFonts w:cs="Times New Roman"/>
          <w:color w:val="000000"/>
        </w:rPr>
      </w:pPr>
      <w:r w:rsidRPr="002C651F">
        <w:rPr>
          <w:rFonts w:cs="Times New Roman"/>
          <w:color w:val="000000"/>
        </w:rPr>
        <w:lastRenderedPageBreak/>
        <w:t>Other writers focus on the increase in payments that corporations make to financial markets</w:t>
      </w:r>
      <w:r w:rsidR="005A1A40" w:rsidRPr="002C651F">
        <w:rPr>
          <w:rFonts w:cs="Times New Roman"/>
          <w:color w:val="000000"/>
        </w:rPr>
        <w:t>, a phenomenon they likewise attribute to</w:t>
      </w:r>
      <w:r w:rsidRPr="002C651F">
        <w:rPr>
          <w:rFonts w:cs="Times New Roman"/>
          <w:color w:val="000000"/>
        </w:rPr>
        <w:t xml:space="preserve"> neoliberalism.</w:t>
      </w:r>
      <w:r w:rsidRPr="002C651F">
        <w:rPr>
          <w:rStyle w:val="FootnoteReference"/>
          <w:rFonts w:cs="Times New Roman"/>
          <w:color w:val="000000"/>
        </w:rPr>
        <w:footnoteReference w:id="3"/>
      </w:r>
      <w:r w:rsidRPr="002C651F">
        <w:rPr>
          <w:rFonts w:cs="Times New Roman"/>
          <w:color w:val="000000"/>
        </w:rPr>
        <w:t xml:space="preserve"> Duménil and Lévy (2011</w:t>
      </w:r>
      <w:r w:rsidR="000809C7">
        <w:rPr>
          <w:rFonts w:cs="Times New Roman"/>
          <w:color w:val="000000"/>
        </w:rPr>
        <w:t>, p. 153</w:t>
      </w:r>
      <w:r w:rsidRPr="002C651F">
        <w:rPr>
          <w:rFonts w:cs="Times New Roman"/>
          <w:color w:val="000000"/>
        </w:rPr>
        <w:t>) point out that the rate of accumulation is closely correlated with the rate of retained profits.</w:t>
      </w:r>
      <w:r w:rsidR="00AB47D4" w:rsidRPr="002C651F">
        <w:rPr>
          <w:rStyle w:val="FootnoteReference"/>
          <w:rFonts w:cs="Times New Roman"/>
          <w:color w:val="000000"/>
        </w:rPr>
        <w:footnoteReference w:id="4"/>
      </w:r>
      <w:r w:rsidRPr="002C651F">
        <w:rPr>
          <w:rFonts w:cs="Times New Roman"/>
          <w:color w:val="000000"/>
        </w:rPr>
        <w:t xml:space="preserve"> They argue that changes in corporate governance under neoliberalism ha</w:t>
      </w:r>
      <w:r w:rsidR="005A1A40" w:rsidRPr="002C651F">
        <w:rPr>
          <w:rFonts w:cs="Times New Roman"/>
          <w:color w:val="000000"/>
        </w:rPr>
        <w:t>ve</w:t>
      </w:r>
      <w:r w:rsidRPr="002C651F">
        <w:rPr>
          <w:rFonts w:cs="Times New Roman"/>
          <w:color w:val="000000"/>
        </w:rPr>
        <w:t xml:space="preserve"> caused corporations to </w:t>
      </w:r>
      <w:r w:rsidRPr="00904087">
        <w:rPr>
          <w:rFonts w:cs="Times New Roman"/>
          <w:color w:val="000000"/>
        </w:rPr>
        <w:t>relinquish a greater share of their profits to financial markets</w:t>
      </w:r>
      <w:r w:rsidR="00C74CB9" w:rsidRPr="00904087">
        <w:rPr>
          <w:rFonts w:cs="Times New Roman"/>
          <w:color w:val="000000"/>
        </w:rPr>
        <w:t>––</w:t>
      </w:r>
      <w:r w:rsidRPr="00904087">
        <w:rPr>
          <w:rFonts w:cs="Times New Roman"/>
          <w:color w:val="000000"/>
        </w:rPr>
        <w:t>in the form of higher interest and dividend payments</w:t>
      </w:r>
      <w:r w:rsidR="00C74CB9" w:rsidRPr="00904087">
        <w:rPr>
          <w:rFonts w:cs="Times New Roman"/>
          <w:color w:val="000000"/>
        </w:rPr>
        <w:t>––</w:t>
      </w:r>
      <w:r w:rsidRPr="00904087">
        <w:rPr>
          <w:rFonts w:cs="Times New Roman"/>
          <w:color w:val="000000"/>
        </w:rPr>
        <w:t xml:space="preserve">leading to a slowdown in the rate of accumulation. Similarly, </w:t>
      </w:r>
      <w:r w:rsidR="00F75F34" w:rsidRPr="00904087">
        <w:rPr>
          <w:rFonts w:cs="Times New Roman"/>
          <w:color w:val="000000"/>
        </w:rPr>
        <w:t>Orhangazi (200</w:t>
      </w:r>
      <w:r w:rsidR="005D5A8C" w:rsidRPr="00904087">
        <w:rPr>
          <w:rFonts w:cs="Times New Roman"/>
          <w:color w:val="000000"/>
        </w:rPr>
        <w:t>7</w:t>
      </w:r>
      <w:r w:rsidR="00271F8C" w:rsidRPr="00904087">
        <w:rPr>
          <w:rFonts w:cs="Times New Roman"/>
          <w:color w:val="000000"/>
        </w:rPr>
        <w:t>, p. 8</w:t>
      </w:r>
      <w:r w:rsidR="00F75F34" w:rsidRPr="00904087">
        <w:rPr>
          <w:rFonts w:cs="Times New Roman"/>
          <w:color w:val="000000"/>
        </w:rPr>
        <w:t xml:space="preserve">) claims that </w:t>
      </w:r>
      <w:r w:rsidR="0071600A" w:rsidRPr="00904087">
        <w:rPr>
          <w:rFonts w:cs="Times New Roman"/>
          <w:color w:val="000000"/>
        </w:rPr>
        <w:t>“</w:t>
      </w:r>
      <w:r w:rsidR="00271F8C" w:rsidRPr="00904087">
        <w:rPr>
          <w:rFonts w:eastAsia="Times New Roman" w:cs="Times New Roman"/>
          <w:color w:val="000000"/>
          <w:kern w:val="0"/>
          <w:lang w:eastAsia="en-US" w:bidi="ar-SA"/>
        </w:rPr>
        <w:t>the percent of internal funds paid to financial markets each year has risen dramatically</w:t>
      </w:r>
      <w:r w:rsidR="00271F8C" w:rsidRPr="00904087">
        <w:rPr>
          <w:rFonts w:cs="Times New Roman"/>
          <w:color w:val="000000"/>
        </w:rPr>
        <w:t>.</w:t>
      </w:r>
      <w:r w:rsidR="0071600A" w:rsidRPr="00904087">
        <w:rPr>
          <w:rFonts w:cs="Times New Roman"/>
          <w:color w:val="000000"/>
        </w:rPr>
        <w:t>”</w:t>
      </w:r>
      <w:r w:rsidR="00271F8C" w:rsidRPr="00904087">
        <w:rPr>
          <w:rFonts w:cs="Times New Roman"/>
          <w:color w:val="000000"/>
        </w:rPr>
        <w:t xml:space="preserve"> And </w:t>
      </w:r>
      <w:r w:rsidRPr="00904087">
        <w:rPr>
          <w:rFonts w:cs="Times New Roman"/>
          <w:color w:val="000000"/>
        </w:rPr>
        <w:t xml:space="preserve">Husson (2008) insists that </w:t>
      </w:r>
      <w:r w:rsidR="005A1A40" w:rsidRPr="00904087">
        <w:rPr>
          <w:rFonts w:cs="Times New Roman"/>
          <w:color w:val="000000"/>
        </w:rPr>
        <w:t xml:space="preserve">profitability has </w:t>
      </w:r>
      <w:r w:rsidR="00AF72AF" w:rsidRPr="00904087">
        <w:rPr>
          <w:rFonts w:cs="Times New Roman"/>
          <w:color w:val="000000"/>
        </w:rPr>
        <w:t>increased under</w:t>
      </w:r>
      <w:r w:rsidRPr="00904087">
        <w:rPr>
          <w:rFonts w:cs="Times New Roman"/>
          <w:color w:val="000000"/>
        </w:rPr>
        <w:t xml:space="preserve"> neoliberalism</w:t>
      </w:r>
      <w:r w:rsidR="005A1A40" w:rsidRPr="00904087">
        <w:rPr>
          <w:rFonts w:cs="Times New Roman"/>
          <w:color w:val="000000"/>
        </w:rPr>
        <w:t>, but that the additional profits</w:t>
      </w:r>
      <w:r w:rsidRPr="00904087">
        <w:rPr>
          <w:rFonts w:cs="Times New Roman"/>
          <w:color w:val="000000"/>
        </w:rPr>
        <w:t xml:space="preserve"> have not been productively invested</w:t>
      </w:r>
      <w:r w:rsidR="005A1A40" w:rsidRPr="00904087">
        <w:rPr>
          <w:rFonts w:cs="Times New Roman"/>
          <w:color w:val="000000"/>
        </w:rPr>
        <w:t xml:space="preserve">. </w:t>
      </w:r>
      <w:r w:rsidR="0071600A" w:rsidRPr="00904087">
        <w:rPr>
          <w:rFonts w:cs="Times New Roman"/>
          <w:color w:val="000000"/>
        </w:rPr>
        <w:t>“</w:t>
      </w:r>
      <w:r w:rsidR="006272C1" w:rsidRPr="00904087">
        <w:rPr>
          <w:color w:val="000000"/>
        </w:rPr>
        <w:t>Rather,</w:t>
      </w:r>
      <w:r w:rsidR="00DA6571" w:rsidRPr="00904087">
        <w:rPr>
          <w:color w:val="000000"/>
        </w:rPr>
        <w:t xml:space="preserve"> </w:t>
      </w:r>
      <w:r w:rsidR="006272C1" w:rsidRPr="00904087">
        <w:rPr>
          <w:color w:val="000000"/>
        </w:rPr>
        <w:t>…</w:t>
      </w:r>
      <w:r w:rsidR="00DA6571" w:rsidRPr="00904087">
        <w:rPr>
          <w:color w:val="000000"/>
        </w:rPr>
        <w:t xml:space="preserve"> </w:t>
      </w:r>
      <w:r w:rsidR="006272C1" w:rsidRPr="00904087">
        <w:rPr>
          <w:color w:val="000000"/>
        </w:rPr>
        <w:t>[t]he growing mass of surplus value which has not been accumulated has mainly [been] distributed in the form of financial revenues.</w:t>
      </w:r>
      <w:r w:rsidR="0071600A" w:rsidRPr="00904087">
        <w:rPr>
          <w:color w:val="000000"/>
        </w:rPr>
        <w:t>”</w:t>
      </w:r>
    </w:p>
    <w:p w:rsidR="006272C1" w:rsidRDefault="00B52D8F" w:rsidP="00763965">
      <w:pPr>
        <w:widowControl/>
        <w:suppressAutoHyphens w:val="0"/>
        <w:spacing w:line="480" w:lineRule="auto"/>
        <w:rPr>
          <w:rFonts w:cs="Times New Roman"/>
        </w:rPr>
      </w:pPr>
      <w:r>
        <w:rPr>
          <w:rFonts w:cs="Times New Roman"/>
          <w:color w:val="000000"/>
        </w:rPr>
        <w:tab/>
      </w:r>
      <w:r w:rsidR="002E34C6" w:rsidRPr="00C763EC">
        <w:rPr>
          <w:rFonts w:cs="Times New Roman"/>
          <w:color w:val="000000"/>
        </w:rPr>
        <w:t>Lazonick</w:t>
      </w:r>
      <w:r w:rsidR="00C763EC">
        <w:rPr>
          <w:rFonts w:cs="Times New Roman"/>
          <w:color w:val="000000"/>
        </w:rPr>
        <w:t>,</w:t>
      </w:r>
      <w:r w:rsidR="002E34C6" w:rsidRPr="00C763EC">
        <w:rPr>
          <w:rFonts w:cs="Times New Roman"/>
          <w:color w:val="000000"/>
        </w:rPr>
        <w:t xml:space="preserve"> </w:t>
      </w:r>
      <w:r w:rsidR="002E34C6" w:rsidRPr="002C651F">
        <w:rPr>
          <w:rFonts w:cs="Times New Roman"/>
          <w:color w:val="000000"/>
        </w:rPr>
        <w:t xml:space="preserve">writing within the </w:t>
      </w:r>
      <w:r w:rsidR="0071600A">
        <w:rPr>
          <w:rFonts w:cs="Times New Roman"/>
          <w:color w:val="000000"/>
        </w:rPr>
        <w:t>“</w:t>
      </w:r>
      <w:r w:rsidR="002E34C6" w:rsidRPr="002C651F">
        <w:rPr>
          <w:rFonts w:cs="Times New Roman"/>
          <w:color w:val="000000"/>
        </w:rPr>
        <w:t>shareholder value</w:t>
      </w:r>
      <w:r w:rsidR="0071600A">
        <w:rPr>
          <w:rFonts w:cs="Times New Roman"/>
          <w:color w:val="000000"/>
        </w:rPr>
        <w:t>”</w:t>
      </w:r>
      <w:r w:rsidR="002E34C6" w:rsidRPr="002C651F">
        <w:rPr>
          <w:rFonts w:cs="Times New Roman"/>
          <w:color w:val="000000"/>
        </w:rPr>
        <w:t xml:space="preserve"> tradition</w:t>
      </w:r>
      <w:r w:rsidR="00173E3A">
        <w:rPr>
          <w:rFonts w:cs="Times New Roman"/>
          <w:color w:val="000000"/>
        </w:rPr>
        <w:t xml:space="preserve"> that we will discuss further in the next section</w:t>
      </w:r>
      <w:r w:rsidR="002E34C6" w:rsidRPr="002C651F">
        <w:rPr>
          <w:rFonts w:cs="Times New Roman"/>
          <w:color w:val="000000"/>
        </w:rPr>
        <w:t>, has devoted considerable attention to stock buybacks as a means by which corporate funds are distributed to financial markets</w:t>
      </w:r>
      <w:r w:rsidR="00C763EC">
        <w:rPr>
          <w:rFonts w:cs="Times New Roman"/>
          <w:color w:val="000000"/>
        </w:rPr>
        <w:t xml:space="preserve"> </w:t>
      </w:r>
      <w:r w:rsidR="00C763EC" w:rsidRPr="00C763EC">
        <w:rPr>
          <w:rFonts w:cs="Times New Roman"/>
          <w:color w:val="000000"/>
        </w:rPr>
        <w:t>(</w:t>
      </w:r>
      <w:r w:rsidR="00C763EC">
        <w:rPr>
          <w:rFonts w:cs="Times New Roman"/>
          <w:color w:val="000000"/>
        </w:rPr>
        <w:t>forthcoming,</w:t>
      </w:r>
      <w:r w:rsidR="00A91A66">
        <w:rPr>
          <w:rFonts w:cs="Times New Roman"/>
          <w:color w:val="000000"/>
        </w:rPr>
        <w:t xml:space="preserve"> 2010</w:t>
      </w:r>
      <w:r w:rsidR="00D50F4E">
        <w:rPr>
          <w:rFonts w:cs="Times New Roman"/>
          <w:color w:val="000000"/>
        </w:rPr>
        <w:t>;</w:t>
      </w:r>
      <w:r w:rsidR="00C763EC">
        <w:rPr>
          <w:rFonts w:cs="Times New Roman"/>
          <w:color w:val="000000"/>
        </w:rPr>
        <w:t xml:space="preserve"> </w:t>
      </w:r>
      <w:r w:rsidR="00C763EC" w:rsidRPr="00C763EC">
        <w:rPr>
          <w:rFonts w:eastAsia="Times New Roman" w:cs="Times New Roman"/>
          <w:kern w:val="0"/>
          <w:lang w:eastAsia="en-US" w:bidi="ar-SA"/>
        </w:rPr>
        <w:t>Lazonick and O</w:t>
      </w:r>
      <w:r w:rsidR="0071600A">
        <w:rPr>
          <w:rFonts w:eastAsia="Times New Roman" w:cs="Times New Roman"/>
          <w:kern w:val="0"/>
          <w:lang w:eastAsia="en-US" w:bidi="ar-SA"/>
        </w:rPr>
        <w:t>’</w:t>
      </w:r>
      <w:r w:rsidR="00C763EC" w:rsidRPr="00C763EC">
        <w:rPr>
          <w:rFonts w:eastAsia="Times New Roman" w:cs="Times New Roman"/>
          <w:kern w:val="0"/>
          <w:lang w:eastAsia="en-US" w:bidi="ar-SA"/>
        </w:rPr>
        <w:t>Sullivan 2000</w:t>
      </w:r>
      <w:r w:rsidR="00C763EC" w:rsidRPr="00C763EC">
        <w:rPr>
          <w:rFonts w:cs="Times New Roman"/>
          <w:color w:val="000000"/>
        </w:rPr>
        <w:t>)</w:t>
      </w:r>
      <w:r w:rsidR="002E34C6" w:rsidRPr="002C651F">
        <w:rPr>
          <w:rFonts w:cs="Times New Roman"/>
          <w:color w:val="000000"/>
        </w:rPr>
        <w:t>.</w:t>
      </w:r>
      <w:r w:rsidR="002E34C6" w:rsidRPr="002C651F">
        <w:rPr>
          <w:rStyle w:val="FootnoteCharacters"/>
          <w:rFonts w:cs="Times New Roman"/>
          <w:color w:val="000000"/>
        </w:rPr>
        <w:t xml:space="preserve"> </w:t>
      </w:r>
      <w:r w:rsidR="00C74CB9">
        <w:rPr>
          <w:rFonts w:cs="Times New Roman"/>
          <w:color w:val="000000"/>
        </w:rPr>
        <w:t xml:space="preserve">He argues that </w:t>
      </w:r>
      <w:r w:rsidR="002E34C6" w:rsidRPr="002C651F">
        <w:rPr>
          <w:rFonts w:cs="Times New Roman"/>
          <w:color w:val="000000"/>
        </w:rPr>
        <w:t>managers</w:t>
      </w:r>
      <w:r w:rsidR="0071600A">
        <w:rPr>
          <w:rFonts w:cs="Times New Roman"/>
          <w:color w:val="000000"/>
        </w:rPr>
        <w:t>’</w:t>
      </w:r>
      <w:r w:rsidR="002E34C6" w:rsidRPr="002C651F">
        <w:rPr>
          <w:rFonts w:cs="Times New Roman"/>
          <w:color w:val="000000"/>
        </w:rPr>
        <w:t xml:space="preserve"> commitment to high stock prices has led corporations to devote a larger share of their profits to repurchasing their own stock, which in turn stifles the growth of investment in innovation</w:t>
      </w:r>
      <w:r w:rsidR="00C74CB9">
        <w:rPr>
          <w:rFonts w:cs="Times New Roman"/>
          <w:color w:val="000000"/>
        </w:rPr>
        <w:t xml:space="preserve"> (Lazonick, forthcoming)</w:t>
      </w:r>
      <w:r w:rsidR="002E34C6" w:rsidRPr="002C651F">
        <w:rPr>
          <w:rFonts w:cs="Times New Roman"/>
          <w:color w:val="000000"/>
        </w:rPr>
        <w:t xml:space="preserve">. </w:t>
      </w:r>
      <w:r w:rsidR="00C04640">
        <w:rPr>
          <w:rFonts w:cs="Times New Roman"/>
          <w:color w:val="000000"/>
        </w:rPr>
        <w:t xml:space="preserve">Similarly, </w:t>
      </w:r>
      <w:r w:rsidR="002E34C6" w:rsidRPr="002C651F">
        <w:rPr>
          <w:rFonts w:cs="Times New Roman"/>
        </w:rPr>
        <w:t>Orhangazi (2008</w:t>
      </w:r>
      <w:r w:rsidR="00C04640" w:rsidRPr="002C651F">
        <w:rPr>
          <w:rFonts w:cs="Times New Roman"/>
        </w:rPr>
        <w:t>)</w:t>
      </w:r>
      <w:r w:rsidR="00C04640">
        <w:rPr>
          <w:rFonts w:cs="Times New Roman"/>
        </w:rPr>
        <w:t xml:space="preserve"> hypothesizes that</w:t>
      </w:r>
      <w:r w:rsidR="00C04640" w:rsidRPr="002C651F">
        <w:rPr>
          <w:rFonts w:cs="Times New Roman"/>
        </w:rPr>
        <w:t xml:space="preserve"> </w:t>
      </w:r>
      <w:r w:rsidR="002E34C6" w:rsidRPr="002C651F">
        <w:rPr>
          <w:rFonts w:cs="Times New Roman"/>
        </w:rPr>
        <w:t>corporate managers</w:t>
      </w:r>
      <w:r w:rsidR="0071600A">
        <w:rPr>
          <w:rFonts w:cs="Times New Roman"/>
        </w:rPr>
        <w:t>’</w:t>
      </w:r>
      <w:r w:rsidR="002E34C6" w:rsidRPr="002C651F">
        <w:rPr>
          <w:rFonts w:cs="Times New Roman"/>
        </w:rPr>
        <w:t xml:space="preserve"> preoccupation with stock price can lead to the development of investment strategies in which the primary aim is to affect the price of </w:t>
      </w:r>
      <w:r w:rsidR="002E34C6" w:rsidRPr="002C651F">
        <w:rPr>
          <w:rFonts w:cs="Times New Roman"/>
        </w:rPr>
        <w:lastRenderedPageBreak/>
        <w:t xml:space="preserve">outstanding stocks in the short run. This in turn can compel corporate managers to pursue financial investments with rapid returns </w:t>
      </w:r>
      <w:r w:rsidR="005A1A40" w:rsidRPr="002C651F">
        <w:rPr>
          <w:rFonts w:cs="Times New Roman"/>
        </w:rPr>
        <w:t xml:space="preserve">in preference to </w:t>
      </w:r>
      <w:r w:rsidR="002E34C6" w:rsidRPr="002C651F">
        <w:rPr>
          <w:rFonts w:cs="Times New Roman"/>
        </w:rPr>
        <w:t>long-term investments in production.</w:t>
      </w:r>
    </w:p>
    <w:p w:rsidR="00B52D8F" w:rsidRDefault="00B52D8F" w:rsidP="00763965">
      <w:pPr>
        <w:pStyle w:val="BodyText"/>
        <w:widowControl/>
        <w:suppressAutoHyphens w:val="0"/>
        <w:spacing w:after="0"/>
        <w:contextualSpacing/>
        <w:rPr>
          <w:rFonts w:cs="Times New Roman"/>
        </w:rPr>
      </w:pPr>
    </w:p>
    <w:p w:rsidR="006272C1" w:rsidRPr="002C651F" w:rsidRDefault="00C04640" w:rsidP="00763965">
      <w:pPr>
        <w:pStyle w:val="BodyText"/>
        <w:widowControl/>
        <w:suppressAutoHyphens w:val="0"/>
        <w:spacing w:after="0" w:line="480" w:lineRule="auto"/>
        <w:ind w:left="706"/>
        <w:contextualSpacing/>
      </w:pPr>
      <w:r>
        <w:t>F</w:t>
      </w:r>
      <w:r w:rsidR="006272C1" w:rsidRPr="002C651F">
        <w:t>inancialization can have two potential negative impacts on capital accumulation …. First, increased financial investment and financial profit opportunities can crowd out real investment by creating managerial short-termism [i.e., concern for short-term increases in the price of the company</w:t>
      </w:r>
      <w:r w:rsidR="0071600A">
        <w:t>’</w:t>
      </w:r>
      <w:r w:rsidR="006272C1" w:rsidRPr="002C651F">
        <w:t>s stock] and directing funds away from real investment. Second, increased financial payments can decrease real investment, shortening planning horizons of firm management and increasing uncertainty.</w:t>
      </w:r>
      <w:r>
        <w:t xml:space="preserve"> [</w:t>
      </w:r>
      <w:r w:rsidRPr="002C651F">
        <w:rPr>
          <w:rFonts w:cs="Times New Roman"/>
        </w:rPr>
        <w:t xml:space="preserve">Orhangazi </w:t>
      </w:r>
      <w:r>
        <w:rPr>
          <w:rFonts w:cs="Times New Roman"/>
        </w:rPr>
        <w:t>2008, p. 99]</w:t>
      </w:r>
    </w:p>
    <w:p w:rsidR="006272C1" w:rsidRPr="002C651F" w:rsidRDefault="006272C1" w:rsidP="007F16AE">
      <w:pPr>
        <w:pStyle w:val="BodyText"/>
        <w:widowControl/>
        <w:suppressAutoHyphens w:val="0"/>
        <w:spacing w:after="0"/>
        <w:contextualSpacing/>
      </w:pPr>
    </w:p>
    <w:p w:rsidR="00EC4F87" w:rsidRPr="00A737A7" w:rsidRDefault="002E34C6" w:rsidP="00763965">
      <w:pPr>
        <w:pStyle w:val="BodyText"/>
        <w:widowControl/>
        <w:suppressAutoHyphens w:val="0"/>
        <w:spacing w:after="0" w:line="480" w:lineRule="auto"/>
        <w:ind w:firstLine="706"/>
        <w:contextualSpacing/>
        <w:rPr>
          <w:rFonts w:cs="Times New Roman"/>
        </w:rPr>
      </w:pPr>
      <w:r w:rsidRPr="002C651F">
        <w:rPr>
          <w:rFonts w:cs="Times New Roman"/>
        </w:rPr>
        <w:t xml:space="preserve">Using </w:t>
      </w:r>
      <w:r w:rsidR="00F92EDB" w:rsidRPr="002C651F">
        <w:rPr>
          <w:rFonts w:cs="Times New Roman"/>
        </w:rPr>
        <w:t>regression</w:t>
      </w:r>
      <w:r w:rsidRPr="002C651F">
        <w:rPr>
          <w:rFonts w:cs="Times New Roman"/>
        </w:rPr>
        <w:t xml:space="preserve"> analysis, Orhangazi test</w:t>
      </w:r>
      <w:r w:rsidR="00F56DAF">
        <w:rPr>
          <w:rFonts w:cs="Times New Roman"/>
        </w:rPr>
        <w:t>ed</w:t>
      </w:r>
      <w:r w:rsidRPr="002C651F">
        <w:rPr>
          <w:rFonts w:cs="Times New Roman"/>
        </w:rPr>
        <w:t xml:space="preserve"> the effects of </w:t>
      </w:r>
      <w:r w:rsidR="00655B90">
        <w:rPr>
          <w:rFonts w:cs="Times New Roman"/>
        </w:rPr>
        <w:t>nonfinancial corporations</w:t>
      </w:r>
      <w:r w:rsidR="0071600A">
        <w:rPr>
          <w:rFonts w:cs="Times New Roman"/>
        </w:rPr>
        <w:t>’</w:t>
      </w:r>
      <w:r w:rsidR="00655B90">
        <w:rPr>
          <w:rFonts w:cs="Times New Roman"/>
        </w:rPr>
        <w:t xml:space="preserve"> </w:t>
      </w:r>
      <w:r w:rsidRPr="002C651F">
        <w:rPr>
          <w:rFonts w:cs="Times New Roman"/>
        </w:rPr>
        <w:t xml:space="preserve">financial payouts and income on </w:t>
      </w:r>
      <w:r w:rsidR="00655B90">
        <w:rPr>
          <w:rFonts w:cs="Times New Roman"/>
        </w:rPr>
        <w:t xml:space="preserve">their </w:t>
      </w:r>
      <w:r w:rsidRPr="002C651F">
        <w:rPr>
          <w:rFonts w:cs="Times New Roman"/>
        </w:rPr>
        <w:t xml:space="preserve">real investment, at both the aggregate and </w:t>
      </w:r>
      <w:r w:rsidR="00F92EDB" w:rsidRPr="002C651F">
        <w:rPr>
          <w:rFonts w:cs="Times New Roman"/>
        </w:rPr>
        <w:t xml:space="preserve">the </w:t>
      </w:r>
      <w:r w:rsidRPr="002C651F">
        <w:rPr>
          <w:rFonts w:cs="Times New Roman"/>
        </w:rPr>
        <w:t>firm level</w:t>
      </w:r>
      <w:r w:rsidR="00F92EDB" w:rsidRPr="002C651F">
        <w:rPr>
          <w:rFonts w:cs="Times New Roman"/>
        </w:rPr>
        <w:t xml:space="preserve">. </w:t>
      </w:r>
      <w:r w:rsidRPr="002C651F">
        <w:rPr>
          <w:rFonts w:cs="Times New Roman"/>
        </w:rPr>
        <w:t xml:space="preserve">At the aggregate level, </w:t>
      </w:r>
      <w:r w:rsidR="00F92EDB" w:rsidRPr="002C651F">
        <w:rPr>
          <w:rFonts w:cs="Times New Roman"/>
        </w:rPr>
        <w:t xml:space="preserve">he </w:t>
      </w:r>
      <w:r w:rsidR="00F56DAF">
        <w:rPr>
          <w:rFonts w:cs="Times New Roman"/>
        </w:rPr>
        <w:t>found</w:t>
      </w:r>
      <w:r w:rsidR="00F56DAF" w:rsidRPr="002C651F">
        <w:rPr>
          <w:rFonts w:cs="Times New Roman"/>
        </w:rPr>
        <w:t xml:space="preserve"> </w:t>
      </w:r>
      <w:r w:rsidRPr="002C651F">
        <w:rPr>
          <w:rFonts w:cs="Times New Roman"/>
        </w:rPr>
        <w:t xml:space="preserve">that both financial payments and incomes have a negative effect on real investment. At the firm level, </w:t>
      </w:r>
      <w:r w:rsidR="00F92EDB" w:rsidRPr="002C651F">
        <w:rPr>
          <w:rFonts w:cs="Times New Roman"/>
        </w:rPr>
        <w:t xml:space="preserve">he </w:t>
      </w:r>
      <w:r w:rsidR="00F56DAF">
        <w:rPr>
          <w:rFonts w:cs="Times New Roman"/>
        </w:rPr>
        <w:t>found</w:t>
      </w:r>
      <w:r w:rsidR="00F56DAF" w:rsidRPr="002C651F">
        <w:rPr>
          <w:rFonts w:cs="Times New Roman"/>
        </w:rPr>
        <w:t xml:space="preserve"> </w:t>
      </w:r>
      <w:r w:rsidR="00F92EDB" w:rsidRPr="002C651F">
        <w:rPr>
          <w:rFonts w:cs="Times New Roman"/>
        </w:rPr>
        <w:t xml:space="preserve">that </w:t>
      </w:r>
      <w:r w:rsidRPr="002C651F">
        <w:rPr>
          <w:rFonts w:cs="Times New Roman"/>
        </w:rPr>
        <w:t xml:space="preserve">financial payments </w:t>
      </w:r>
      <w:r w:rsidR="00F92EDB" w:rsidRPr="002C651F">
        <w:rPr>
          <w:rFonts w:cs="Times New Roman"/>
        </w:rPr>
        <w:t xml:space="preserve">have </w:t>
      </w:r>
      <w:r w:rsidRPr="002C651F">
        <w:rPr>
          <w:rFonts w:cs="Times New Roman"/>
        </w:rPr>
        <w:t>had a negative effect on real investment across a range of different industries, within both small and large firms, whereas financial income had a negative effect on real investment particularly for large corporations.</w:t>
      </w:r>
      <w:r w:rsidR="00C04640">
        <w:rPr>
          <w:rFonts w:cs="Times New Roman"/>
        </w:rPr>
        <w:t xml:space="preserve"> However, </w:t>
      </w:r>
      <w:r w:rsidR="00F56DAF">
        <w:rPr>
          <w:rFonts w:cs="Times New Roman"/>
        </w:rPr>
        <w:t>Orhangazi did not provide estimates of the amounts by which increases in financial payments and income tended to reduce investment, and the negative effects were often not statistically significant at normal levels of testing.</w:t>
      </w:r>
      <w:r w:rsidR="00F56DAF">
        <w:rPr>
          <w:rStyle w:val="FootnoteReference"/>
          <w:rFonts w:cs="Times New Roman"/>
        </w:rPr>
        <w:footnoteReference w:id="5"/>
      </w:r>
    </w:p>
    <w:p w:rsidR="00D1304A" w:rsidRDefault="00B52D8F" w:rsidP="007F16AE">
      <w:pPr>
        <w:pStyle w:val="BodyText"/>
        <w:widowControl/>
        <w:suppressAutoHyphens w:val="0"/>
        <w:spacing w:after="0" w:line="480" w:lineRule="auto"/>
        <w:contextualSpacing/>
        <w:rPr>
          <w:rFonts w:cs="Times New Roman"/>
          <w:color w:val="000000"/>
        </w:rPr>
      </w:pPr>
      <w:r>
        <w:rPr>
          <w:rFonts w:cs="Times New Roman"/>
        </w:rPr>
        <w:lastRenderedPageBreak/>
        <w:tab/>
      </w:r>
      <w:r w:rsidR="00173E3A">
        <w:rPr>
          <w:rFonts w:cs="Times New Roman"/>
        </w:rPr>
        <w:t xml:space="preserve">The present paper takes issue with some, but not all, aspects of </w:t>
      </w:r>
      <w:r w:rsidR="00CF7CAF" w:rsidRPr="005957E2">
        <w:rPr>
          <w:rFonts w:cs="Times New Roman"/>
          <w:color w:val="000000"/>
        </w:rPr>
        <w:t>the financial literat</w:t>
      </w:r>
      <w:r w:rsidR="003F027E" w:rsidRPr="005957E2">
        <w:rPr>
          <w:rFonts w:cs="Times New Roman"/>
          <w:color w:val="000000"/>
        </w:rPr>
        <w:t>u</w:t>
      </w:r>
      <w:r w:rsidR="00CF7CAF" w:rsidRPr="005957E2">
        <w:rPr>
          <w:rFonts w:cs="Times New Roman"/>
          <w:color w:val="000000"/>
        </w:rPr>
        <w:t>re</w:t>
      </w:r>
      <w:r w:rsidR="00173E3A">
        <w:rPr>
          <w:rFonts w:cs="Times New Roman"/>
          <w:color w:val="000000"/>
        </w:rPr>
        <w:t>.</w:t>
      </w:r>
      <w:r w:rsidR="00CF7CAF" w:rsidRPr="005957E2">
        <w:rPr>
          <w:rFonts w:cs="Times New Roman"/>
          <w:color w:val="000000"/>
        </w:rPr>
        <w:t xml:space="preserve"> </w:t>
      </w:r>
      <w:r w:rsidR="0059613B" w:rsidRPr="005957E2">
        <w:rPr>
          <w:rFonts w:cs="Times New Roman"/>
          <w:color w:val="000000"/>
        </w:rPr>
        <w:t xml:space="preserve">It does not dispute the claim that a shift toward a </w:t>
      </w:r>
      <w:r w:rsidR="0071600A">
        <w:rPr>
          <w:rFonts w:cs="Times New Roman"/>
          <w:color w:val="000000"/>
        </w:rPr>
        <w:t>“</w:t>
      </w:r>
      <w:r w:rsidR="0059613B" w:rsidRPr="005957E2">
        <w:rPr>
          <w:rFonts w:cs="Times New Roman"/>
          <w:color w:val="000000"/>
        </w:rPr>
        <w:t>shareholder value</w:t>
      </w:r>
      <w:r w:rsidR="0071600A">
        <w:rPr>
          <w:rFonts w:cs="Times New Roman"/>
          <w:color w:val="000000"/>
        </w:rPr>
        <w:t>”</w:t>
      </w:r>
      <w:r w:rsidR="0059613B" w:rsidRPr="005957E2">
        <w:rPr>
          <w:rFonts w:cs="Times New Roman"/>
          <w:color w:val="000000"/>
        </w:rPr>
        <w:t xml:space="preserve"> orientation has occurred. Nor do we take issue with the </w:t>
      </w:r>
      <w:r w:rsidR="00CF7CAF" w:rsidRPr="005957E2">
        <w:rPr>
          <w:rFonts w:cs="Times New Roman"/>
          <w:color w:val="000000"/>
        </w:rPr>
        <w:t xml:space="preserve">claim that nonfinancial corporations have become increasing </w:t>
      </w:r>
      <w:r w:rsidR="0071600A">
        <w:rPr>
          <w:rFonts w:cs="Times New Roman"/>
          <w:color w:val="000000"/>
        </w:rPr>
        <w:t>“</w:t>
      </w:r>
      <w:r w:rsidR="00CF7CAF" w:rsidRPr="005957E2">
        <w:rPr>
          <w:rFonts w:cs="Times New Roman"/>
          <w:color w:val="000000"/>
        </w:rPr>
        <w:t>financialized,</w:t>
      </w:r>
      <w:r w:rsidR="0071600A">
        <w:rPr>
          <w:rFonts w:cs="Times New Roman"/>
          <w:color w:val="000000"/>
        </w:rPr>
        <w:t>”</w:t>
      </w:r>
      <w:r w:rsidR="00CF7CAF" w:rsidRPr="005957E2">
        <w:rPr>
          <w:rFonts w:cs="Times New Roman"/>
          <w:color w:val="000000"/>
        </w:rPr>
        <w:t xml:space="preserve"> according to some </w:t>
      </w:r>
      <w:r w:rsidR="008A1A3E" w:rsidRPr="005957E2">
        <w:rPr>
          <w:rFonts w:cs="Times New Roman"/>
          <w:color w:val="000000"/>
        </w:rPr>
        <w:t>definitions</w:t>
      </w:r>
      <w:r w:rsidR="00CF7CAF" w:rsidRPr="005957E2">
        <w:rPr>
          <w:rFonts w:cs="Times New Roman"/>
          <w:color w:val="000000"/>
        </w:rPr>
        <w:t xml:space="preserve"> of </w:t>
      </w:r>
      <w:r w:rsidR="008A1A3E" w:rsidRPr="005957E2">
        <w:rPr>
          <w:rFonts w:cs="Times New Roman"/>
          <w:color w:val="000000"/>
        </w:rPr>
        <w:t>the</w:t>
      </w:r>
      <w:r w:rsidR="00CF7CAF" w:rsidRPr="005957E2">
        <w:rPr>
          <w:rFonts w:cs="Times New Roman"/>
          <w:color w:val="000000"/>
        </w:rPr>
        <w:t xml:space="preserve"> term. </w:t>
      </w:r>
      <w:r w:rsidR="0059613B" w:rsidRPr="005957E2">
        <w:rPr>
          <w:rFonts w:cs="Times New Roman"/>
          <w:color w:val="000000"/>
        </w:rPr>
        <w:t>It is certainly the case that t</w:t>
      </w:r>
      <w:r w:rsidR="00CF7CAF" w:rsidRPr="005957E2">
        <w:rPr>
          <w:rFonts w:cs="Times New Roman"/>
          <w:color w:val="000000"/>
        </w:rPr>
        <w:t>heir financial payments have increased more rapidly than have their profits, and</w:t>
      </w:r>
      <w:r w:rsidR="0059613B" w:rsidRPr="005957E2">
        <w:rPr>
          <w:rFonts w:cs="Times New Roman"/>
          <w:color w:val="000000"/>
        </w:rPr>
        <w:t xml:space="preserve"> that</w:t>
      </w:r>
      <w:r w:rsidR="00CF7CAF" w:rsidRPr="005957E2">
        <w:rPr>
          <w:rFonts w:cs="Times New Roman"/>
          <w:color w:val="000000"/>
        </w:rPr>
        <w:t xml:space="preserve"> their purchases of financial assets have increased more rapidly than have their purchases of fixed assets. </w:t>
      </w:r>
      <w:r w:rsidR="003F027E" w:rsidRPr="005957E2">
        <w:rPr>
          <w:rFonts w:cs="Times New Roman"/>
          <w:color w:val="000000"/>
        </w:rPr>
        <w:t xml:space="preserve">Yet </w:t>
      </w:r>
      <w:r w:rsidR="00012DD1" w:rsidRPr="005957E2">
        <w:rPr>
          <w:rFonts w:cs="Times New Roman"/>
          <w:color w:val="000000"/>
        </w:rPr>
        <w:t>authors such as Duménil and Lévy, Husso</w:t>
      </w:r>
      <w:r w:rsidR="00F43B2D" w:rsidRPr="005957E2">
        <w:rPr>
          <w:rFonts w:cs="Times New Roman"/>
          <w:color w:val="000000"/>
        </w:rPr>
        <w:t>n</w:t>
      </w:r>
      <w:r w:rsidR="00012DD1" w:rsidRPr="005957E2">
        <w:rPr>
          <w:rFonts w:cs="Times New Roman"/>
          <w:color w:val="000000"/>
        </w:rPr>
        <w:t>, Lazonick, Orhangazi</w:t>
      </w:r>
      <w:r w:rsidR="0059613B" w:rsidRPr="005957E2">
        <w:rPr>
          <w:rFonts w:cs="Times New Roman"/>
          <w:color w:val="000000"/>
        </w:rPr>
        <w:t>,</w:t>
      </w:r>
      <w:r w:rsidR="00012DD1" w:rsidRPr="005957E2">
        <w:rPr>
          <w:rFonts w:cs="Times New Roman"/>
          <w:color w:val="000000"/>
        </w:rPr>
        <w:t xml:space="preserve"> and Stockhammer also claim that</w:t>
      </w:r>
      <w:r w:rsidR="00F43B2D" w:rsidRPr="005957E2">
        <w:rPr>
          <w:rFonts w:cs="Times New Roman"/>
          <w:color w:val="000000"/>
        </w:rPr>
        <w:t xml:space="preserve"> financialization has occurred in a rather different sense: </w:t>
      </w:r>
      <w:r w:rsidR="0059613B" w:rsidRPr="005957E2">
        <w:rPr>
          <w:rFonts w:cs="Times New Roman"/>
          <w:color w:val="000000"/>
        </w:rPr>
        <w:t xml:space="preserve">a greater </w:t>
      </w:r>
      <w:r w:rsidR="00012DD1" w:rsidRPr="005957E2">
        <w:rPr>
          <w:rFonts w:cs="Times New Roman"/>
          <w:color w:val="000000"/>
        </w:rPr>
        <w:t>share of p</w:t>
      </w:r>
      <w:r w:rsidR="003F027E" w:rsidRPr="005957E2">
        <w:rPr>
          <w:rFonts w:cs="Times New Roman"/>
          <w:color w:val="000000"/>
        </w:rPr>
        <w:t>rofits or internal funds</w:t>
      </w:r>
      <w:r w:rsidR="00012DD1" w:rsidRPr="005957E2">
        <w:rPr>
          <w:rFonts w:cs="Times New Roman"/>
          <w:color w:val="000000"/>
        </w:rPr>
        <w:t xml:space="preserve"> ha</w:t>
      </w:r>
      <w:r w:rsidR="0059613B" w:rsidRPr="005957E2">
        <w:rPr>
          <w:rFonts w:cs="Times New Roman"/>
          <w:color w:val="000000"/>
        </w:rPr>
        <w:t>s</w:t>
      </w:r>
      <w:r w:rsidR="00012DD1" w:rsidRPr="005957E2">
        <w:rPr>
          <w:rFonts w:cs="Times New Roman"/>
          <w:color w:val="000000"/>
        </w:rPr>
        <w:t xml:space="preserve"> </w:t>
      </w:r>
      <w:r w:rsidR="0059613B" w:rsidRPr="005957E2">
        <w:rPr>
          <w:rFonts w:cs="Times New Roman"/>
          <w:color w:val="000000"/>
        </w:rPr>
        <w:t>been</w:t>
      </w:r>
      <w:r w:rsidR="00012DD1" w:rsidRPr="005957E2">
        <w:rPr>
          <w:rFonts w:cs="Times New Roman"/>
          <w:color w:val="000000"/>
        </w:rPr>
        <w:t xml:space="preserve"> used to make </w:t>
      </w:r>
      <w:r w:rsidR="003F027E" w:rsidRPr="005957E2">
        <w:rPr>
          <w:rFonts w:cs="Times New Roman"/>
          <w:color w:val="000000"/>
        </w:rPr>
        <w:t>interest</w:t>
      </w:r>
      <w:r w:rsidR="00012DD1" w:rsidRPr="005957E2">
        <w:rPr>
          <w:rFonts w:cs="Times New Roman"/>
          <w:color w:val="000000"/>
        </w:rPr>
        <w:t xml:space="preserve"> and </w:t>
      </w:r>
      <w:r w:rsidR="003F027E" w:rsidRPr="005957E2">
        <w:rPr>
          <w:rFonts w:cs="Times New Roman"/>
          <w:color w:val="000000"/>
        </w:rPr>
        <w:t>dividend</w:t>
      </w:r>
      <w:r w:rsidR="00012DD1" w:rsidRPr="005957E2">
        <w:rPr>
          <w:rFonts w:cs="Times New Roman"/>
          <w:color w:val="000000"/>
        </w:rPr>
        <w:t xml:space="preserve"> payments, to purchase financial assets, and/or to repurchase equity</w:t>
      </w:r>
      <w:r w:rsidR="00F43B2D" w:rsidRPr="005957E2">
        <w:rPr>
          <w:rFonts w:cs="Times New Roman"/>
          <w:color w:val="000000"/>
        </w:rPr>
        <w:t xml:space="preserve">, </w:t>
      </w:r>
      <w:r w:rsidR="0059613B" w:rsidRPr="005957E2">
        <w:rPr>
          <w:rFonts w:cs="Times New Roman"/>
          <w:color w:val="000000"/>
        </w:rPr>
        <w:t xml:space="preserve">which has </w:t>
      </w:r>
      <w:r w:rsidR="00F43B2D" w:rsidRPr="005957E2">
        <w:rPr>
          <w:rFonts w:cs="Times New Roman"/>
          <w:color w:val="000000"/>
        </w:rPr>
        <w:t>led</w:t>
      </w:r>
      <w:r w:rsidR="0059613B" w:rsidRPr="005957E2">
        <w:rPr>
          <w:rFonts w:cs="Times New Roman"/>
          <w:color w:val="000000"/>
        </w:rPr>
        <w:t xml:space="preserve"> </w:t>
      </w:r>
      <w:r w:rsidR="00F43B2D" w:rsidRPr="005957E2">
        <w:rPr>
          <w:rFonts w:cs="Times New Roman"/>
          <w:color w:val="000000"/>
        </w:rPr>
        <w:t xml:space="preserve">to a decline in the productive investment of profit. Our evidence </w:t>
      </w:r>
      <w:r w:rsidR="0059613B" w:rsidRPr="005957E2">
        <w:rPr>
          <w:rFonts w:cs="Times New Roman"/>
          <w:color w:val="000000"/>
        </w:rPr>
        <w:t xml:space="preserve">for the U.S. </w:t>
      </w:r>
      <w:r w:rsidR="00F43B2D" w:rsidRPr="005957E2">
        <w:rPr>
          <w:rFonts w:cs="Times New Roman"/>
          <w:color w:val="000000"/>
        </w:rPr>
        <w:t xml:space="preserve">indicates, to the contrary, that </w:t>
      </w:r>
      <w:r w:rsidR="00D1304A" w:rsidRPr="005957E2">
        <w:rPr>
          <w:rFonts w:cs="Times New Roman"/>
          <w:color w:val="000000"/>
        </w:rPr>
        <w:t xml:space="preserve">the relative increase in these financial payments did </w:t>
      </w:r>
      <w:r w:rsidR="00D1304A" w:rsidRPr="005957E2">
        <w:rPr>
          <w:rFonts w:cs="Times New Roman"/>
          <w:i/>
          <w:color w:val="000000"/>
        </w:rPr>
        <w:t>not</w:t>
      </w:r>
      <w:r w:rsidR="00D1304A" w:rsidRPr="005957E2">
        <w:rPr>
          <w:rFonts w:cs="Times New Roman"/>
          <w:color w:val="000000"/>
        </w:rPr>
        <w:t xml:space="preserve"> lead to a decline in productive investment, because the </w:t>
      </w:r>
      <w:r w:rsidR="00A55542" w:rsidRPr="005957E2">
        <w:rPr>
          <w:rFonts w:cs="Times New Roman"/>
          <w:color w:val="000000"/>
        </w:rPr>
        <w:t>increase</w:t>
      </w:r>
      <w:r w:rsidR="00D1304A" w:rsidRPr="005957E2">
        <w:rPr>
          <w:rFonts w:cs="Times New Roman"/>
          <w:color w:val="000000"/>
        </w:rPr>
        <w:t xml:space="preserve"> in financial payments was </w:t>
      </w:r>
      <w:r w:rsidR="00D1304A" w:rsidRPr="005957E2">
        <w:rPr>
          <w:rFonts w:cs="Times New Roman"/>
          <w:i/>
          <w:color w:val="000000"/>
        </w:rPr>
        <w:t>not</w:t>
      </w:r>
      <w:r w:rsidR="00D1304A" w:rsidRPr="005957E2">
        <w:rPr>
          <w:rFonts w:cs="Times New Roman"/>
          <w:color w:val="000000"/>
        </w:rPr>
        <w:t xml:space="preserve"> funded out of profit.</w:t>
      </w:r>
    </w:p>
    <w:p w:rsidR="00173E3A" w:rsidRDefault="00173E3A" w:rsidP="007F16AE">
      <w:pPr>
        <w:pStyle w:val="BodyText"/>
        <w:widowControl/>
        <w:suppressAutoHyphens w:val="0"/>
        <w:spacing w:after="0"/>
        <w:contextualSpacing/>
        <w:rPr>
          <w:rFonts w:cs="Times New Roman"/>
          <w:color w:val="000000"/>
        </w:rPr>
      </w:pPr>
    </w:p>
    <w:p w:rsidR="00743836" w:rsidRDefault="00743836" w:rsidP="007F16AE">
      <w:pPr>
        <w:pStyle w:val="BodyText"/>
        <w:widowControl/>
        <w:suppressAutoHyphens w:val="0"/>
        <w:spacing w:after="0"/>
        <w:contextualSpacing/>
        <w:rPr>
          <w:rFonts w:cs="Times New Roman"/>
          <w:color w:val="000000"/>
        </w:rPr>
      </w:pPr>
    </w:p>
    <w:p w:rsidR="00743836" w:rsidRDefault="00743836" w:rsidP="007F16AE">
      <w:pPr>
        <w:pStyle w:val="BodyText"/>
        <w:widowControl/>
        <w:suppressAutoHyphens w:val="0"/>
        <w:spacing w:after="0"/>
        <w:contextualSpacing/>
        <w:rPr>
          <w:rFonts w:cs="Times New Roman"/>
          <w:color w:val="000000"/>
        </w:rPr>
      </w:pPr>
    </w:p>
    <w:p w:rsidR="00743836" w:rsidRDefault="00743836" w:rsidP="007F16AE">
      <w:pPr>
        <w:pStyle w:val="BodyText"/>
        <w:widowControl/>
        <w:suppressAutoHyphens w:val="0"/>
        <w:spacing w:after="0"/>
        <w:contextualSpacing/>
        <w:rPr>
          <w:rFonts w:cs="Times New Roman"/>
          <w:color w:val="000000"/>
        </w:rPr>
      </w:pPr>
    </w:p>
    <w:p w:rsidR="00743836" w:rsidRDefault="00743836" w:rsidP="007F16AE">
      <w:pPr>
        <w:pStyle w:val="BodyText"/>
        <w:widowControl/>
        <w:suppressAutoHyphens w:val="0"/>
        <w:spacing w:after="0"/>
        <w:contextualSpacing/>
        <w:rPr>
          <w:rFonts w:cs="Times New Roman"/>
          <w:color w:val="000000"/>
        </w:rPr>
      </w:pPr>
    </w:p>
    <w:p w:rsidR="00173E3A" w:rsidRPr="007F16AE" w:rsidRDefault="00173E3A" w:rsidP="007F16AE">
      <w:pPr>
        <w:pStyle w:val="BodyText"/>
        <w:widowControl/>
        <w:suppressAutoHyphens w:val="0"/>
        <w:spacing w:after="0" w:line="480" w:lineRule="auto"/>
        <w:contextualSpacing/>
        <w:rPr>
          <w:rFonts w:cs="Times New Roman"/>
          <w:color w:val="000000"/>
          <w:u w:val="single"/>
        </w:rPr>
      </w:pPr>
      <w:r w:rsidRPr="007F16AE">
        <w:rPr>
          <w:rFonts w:cs="Times New Roman"/>
          <w:color w:val="000000"/>
          <w:u w:val="single"/>
        </w:rPr>
        <w:lastRenderedPageBreak/>
        <w:t xml:space="preserve">The Meaning of </w:t>
      </w:r>
      <w:r w:rsidR="0071600A">
        <w:rPr>
          <w:rFonts w:cs="Times New Roman"/>
          <w:color w:val="000000"/>
          <w:u w:val="single"/>
        </w:rPr>
        <w:t>“</w:t>
      </w:r>
      <w:r w:rsidRPr="007F16AE">
        <w:rPr>
          <w:rFonts w:cs="Times New Roman"/>
          <w:color w:val="000000"/>
          <w:u w:val="single"/>
        </w:rPr>
        <w:t>Diversion</w:t>
      </w:r>
      <w:r w:rsidR="0071600A">
        <w:rPr>
          <w:rFonts w:cs="Times New Roman"/>
          <w:color w:val="000000"/>
          <w:u w:val="single"/>
        </w:rPr>
        <w:t>”</w:t>
      </w:r>
    </w:p>
    <w:p w:rsidR="00C66FAA" w:rsidRPr="007E3E9D" w:rsidRDefault="00173E3A" w:rsidP="007F16AE">
      <w:pPr>
        <w:widowControl/>
        <w:suppressAutoHyphens w:val="0"/>
        <w:spacing w:line="480" w:lineRule="auto"/>
        <w:rPr>
          <w:rFonts w:cs="Times New Roman"/>
          <w:color w:val="291201"/>
        </w:rPr>
      </w:pPr>
      <w:r>
        <w:rPr>
          <w:rFonts w:cs="Times New Roman"/>
          <w:color w:val="000000"/>
        </w:rPr>
        <w:t>Before turning to the empirical evidence, w</w:t>
      </w:r>
      <w:r w:rsidR="00C66FAA" w:rsidRPr="007F16AE">
        <w:rPr>
          <w:rFonts w:cs="Times New Roman"/>
          <w:color w:val="000000"/>
        </w:rPr>
        <w:t xml:space="preserve">e wish to </w:t>
      </w:r>
      <w:r>
        <w:rPr>
          <w:rFonts w:cs="Times New Roman"/>
          <w:color w:val="000000"/>
        </w:rPr>
        <w:t xml:space="preserve">make clear exactly what we mean </w:t>
      </w:r>
      <w:r w:rsidR="00C66FAA" w:rsidRPr="007F16AE">
        <w:rPr>
          <w:rFonts w:cs="Times New Roman"/>
          <w:color w:val="000000"/>
        </w:rPr>
        <w:t xml:space="preserve">when we deny that financialization in the U.S. has led to a </w:t>
      </w:r>
      <w:r w:rsidR="00C66FAA" w:rsidRPr="007F16AE">
        <w:rPr>
          <w:rFonts w:cs="Times New Roman"/>
          <w:i/>
          <w:color w:val="000000"/>
        </w:rPr>
        <w:t xml:space="preserve">diversion </w:t>
      </w:r>
      <w:r w:rsidR="00C66FAA" w:rsidRPr="007F16AE">
        <w:rPr>
          <w:rFonts w:cs="Times New Roman"/>
          <w:color w:val="000000"/>
        </w:rPr>
        <w:t>of funds from productive investment. As Tobin (</w:t>
      </w:r>
      <w:r w:rsidR="00C368B7">
        <w:rPr>
          <w:rFonts w:cs="Times New Roman"/>
          <w:color w:val="000000"/>
        </w:rPr>
        <w:t>1997, pp. 301–2</w:t>
      </w:r>
      <w:r w:rsidR="00C66FAA" w:rsidRPr="007F16AE">
        <w:rPr>
          <w:rFonts w:cs="Times New Roman"/>
          <w:color w:val="000000"/>
        </w:rPr>
        <w:t xml:space="preserve">) pointed out, the purchase of a financial asset </w:t>
      </w:r>
      <w:r w:rsidR="00054059" w:rsidRPr="007F16AE">
        <w:rPr>
          <w:rFonts w:cs="Times New Roman"/>
          <w:color w:val="000000"/>
        </w:rPr>
        <w:t xml:space="preserve">is simply an exchange of a certain sum of money for a financial asset. It </w:t>
      </w:r>
      <w:r w:rsidR="00C66FAA" w:rsidRPr="007F16AE">
        <w:rPr>
          <w:rFonts w:cs="Times New Roman"/>
          <w:color w:val="000000"/>
        </w:rPr>
        <w:t xml:space="preserve">does not divert funds from productive investment; that is, it does not </w:t>
      </w:r>
      <w:r w:rsidR="00054059" w:rsidRPr="007F16AE">
        <w:rPr>
          <w:rFonts w:cs="Times New Roman"/>
          <w:color w:val="000000"/>
        </w:rPr>
        <w:t xml:space="preserve">take money that was slated to be invested in production and use it for a different purpose. </w:t>
      </w:r>
      <w:r w:rsidR="00C66FAA" w:rsidRPr="007F16AE">
        <w:rPr>
          <w:rFonts w:cs="Times New Roman"/>
          <w:color w:val="000000"/>
        </w:rPr>
        <w:t xml:space="preserve">If such a shift </w:t>
      </w:r>
      <w:r w:rsidR="00054059" w:rsidRPr="007F16AE">
        <w:rPr>
          <w:rFonts w:cs="Times New Roman"/>
          <w:color w:val="000000"/>
        </w:rPr>
        <w:t xml:space="preserve">in the use of the money </w:t>
      </w:r>
      <w:r w:rsidR="00C66FAA" w:rsidRPr="007F16AE">
        <w:rPr>
          <w:rFonts w:cs="Times New Roman"/>
          <w:color w:val="000000"/>
        </w:rPr>
        <w:t xml:space="preserve">took place, it </w:t>
      </w:r>
      <w:r w:rsidR="00054059" w:rsidRPr="007F16AE">
        <w:rPr>
          <w:rFonts w:cs="Times New Roman"/>
          <w:color w:val="000000"/>
        </w:rPr>
        <w:t xml:space="preserve">did so </w:t>
      </w:r>
      <w:r w:rsidR="00C66FAA" w:rsidRPr="007F16AE">
        <w:rPr>
          <w:rFonts w:cs="Times New Roman"/>
          <w:color w:val="000000"/>
        </w:rPr>
        <w:t>sometime prior to the purchase of the asset. And even if such a shift did take place, the seller of the asset might take the money received for it and invest it productively, so that no diversion takes place on a macro level.</w:t>
      </w:r>
    </w:p>
    <w:p w:rsidR="00C66FAA" w:rsidRDefault="00C66FAA" w:rsidP="007F16AE">
      <w:pPr>
        <w:widowControl/>
        <w:suppressAutoHyphens w:val="0"/>
        <w:spacing w:line="480" w:lineRule="auto"/>
        <w:ind w:firstLine="706"/>
        <w:rPr>
          <w:rFonts w:cs="Times New Roman"/>
          <w:color w:val="000000"/>
        </w:rPr>
      </w:pPr>
      <w:r w:rsidRPr="007F16AE">
        <w:rPr>
          <w:rFonts w:cs="Times New Roman"/>
          <w:color w:val="000000"/>
        </w:rPr>
        <w:t xml:space="preserve">Yet even after we recognize that financial-market transactions are not themselves diversionary, and that the question of whether diversion has taken place must be answered on the macro level, there is a further issue: a relative increase in financial payments and purchases is not necessarily a diversion of funds from productive investment. Of course, every dollar used to pay interest, pay dividends, buy financial assets, or repurchase stock is a dollar that is not invested in production, but it is also a dollar that is not spent on Gummi Bears, toenail clippers, lottery tickets, etc. Accordingly, we cannot automatically conclude that funds have been diverted from investment whenever financial purchases and payments increase more rapidly than productive investment––unless we are willing to conclude that funds have been diverted from Gummi Bears, toenail clippers, lottery tickets, etc. whenever financial purchases and payments increase more rapidly than spending on these items.  </w:t>
      </w:r>
    </w:p>
    <w:p w:rsidR="005B1A6D" w:rsidRDefault="00A2293D" w:rsidP="007F16AE">
      <w:pPr>
        <w:widowControl/>
        <w:suppressAutoHyphens w:val="0"/>
        <w:spacing w:line="480" w:lineRule="auto"/>
        <w:ind w:firstLine="706"/>
      </w:pPr>
      <w:r>
        <w:rPr>
          <w:rFonts w:cs="Times New Roman"/>
          <w:color w:val="000000"/>
        </w:rPr>
        <w:t xml:space="preserve">This point holds true </w:t>
      </w:r>
      <w:r>
        <w:t xml:space="preserve">whether the funds in question are profits or borrowed funds. Thus, the mere fact that financial purchases have increased as a share of borrowed funds does not </w:t>
      </w:r>
      <w:r>
        <w:lastRenderedPageBreak/>
        <w:t xml:space="preserve">imply that </w:t>
      </w:r>
      <w:r w:rsidR="007F16AE">
        <w:t>credit</w:t>
      </w:r>
      <w:r w:rsidR="005B1A6D">
        <w:t xml:space="preserve"> has been</w:t>
      </w:r>
      <w:r>
        <w:t xml:space="preserve"> diverted from productive investment. It may be, and often is, the case that </w:t>
      </w:r>
      <w:r w:rsidR="005B1A6D">
        <w:t xml:space="preserve">increases in financial payments and purchases are funded by means of </w:t>
      </w:r>
      <w:r w:rsidR="005B1A6D" w:rsidRPr="007F16AE">
        <w:rPr>
          <w:i/>
        </w:rPr>
        <w:t xml:space="preserve">newly created </w:t>
      </w:r>
      <w:r w:rsidR="005B1A6D">
        <w:t>credit, rather than by means of a redistribution of the outstanding volume of credit.</w:t>
      </w:r>
      <w:r w:rsidR="003325F1">
        <w:rPr>
          <w:rStyle w:val="FootnoteReference"/>
        </w:rPr>
        <w:footnoteReference w:id="6"/>
      </w:r>
      <w:r w:rsidR="005B1A6D">
        <w:t xml:space="preserve"> In s</w:t>
      </w:r>
      <w:r w:rsidR="006B4C3B">
        <w:t>u</w:t>
      </w:r>
      <w:r w:rsidR="005B1A6D">
        <w:t xml:space="preserve">ch cases, </w:t>
      </w:r>
      <w:r w:rsidR="006B4C3B">
        <w:t xml:space="preserve">diversion of </w:t>
      </w:r>
      <w:r w:rsidR="005B1A6D">
        <w:t xml:space="preserve">credit </w:t>
      </w:r>
      <w:r w:rsidR="006B4C3B">
        <w:t xml:space="preserve">from productive </w:t>
      </w:r>
      <w:r w:rsidR="007F16AE">
        <w:t>investment</w:t>
      </w:r>
      <w:r w:rsidR="006B4C3B">
        <w:t xml:space="preserve"> has not occurred</w:t>
      </w:r>
      <w:r w:rsidR="005B1A6D">
        <w:t xml:space="preserve">. </w:t>
      </w:r>
    </w:p>
    <w:p w:rsidR="00C66FAA" w:rsidRPr="007E3E9D" w:rsidRDefault="00C66FAA" w:rsidP="007F16AE">
      <w:pPr>
        <w:widowControl/>
        <w:suppressAutoHyphens w:val="0"/>
        <w:spacing w:line="480" w:lineRule="auto"/>
        <w:ind w:firstLine="706"/>
        <w:rPr>
          <w:rFonts w:cs="Times New Roman"/>
          <w:color w:val="291201"/>
        </w:rPr>
      </w:pPr>
      <w:r w:rsidRPr="00FD4518">
        <w:rPr>
          <w:rFonts w:cs="Times New Roman"/>
          <w:color w:val="000000"/>
        </w:rPr>
        <w:t xml:space="preserve">Thus, in this paper we use the term </w:t>
      </w:r>
      <w:r w:rsidR="0071600A">
        <w:rPr>
          <w:rFonts w:cs="Times New Roman"/>
          <w:color w:val="000000"/>
        </w:rPr>
        <w:t>“</w:t>
      </w:r>
      <w:r w:rsidRPr="00FD4518">
        <w:rPr>
          <w:rFonts w:cs="Times New Roman"/>
          <w:color w:val="000000"/>
        </w:rPr>
        <w:t>diversion</w:t>
      </w:r>
      <w:r w:rsidR="0071600A">
        <w:rPr>
          <w:rFonts w:cs="Times New Roman"/>
          <w:color w:val="000000"/>
        </w:rPr>
        <w:t>”</w:t>
      </w:r>
      <w:r w:rsidRPr="00FD4518">
        <w:rPr>
          <w:rFonts w:cs="Times New Roman"/>
          <w:color w:val="000000"/>
        </w:rPr>
        <w:t xml:space="preserve"> to refer to increases in financial purchases and payments that actually </w:t>
      </w:r>
      <w:r w:rsidRPr="00FD4518">
        <w:rPr>
          <w:rFonts w:cs="Times New Roman"/>
          <w:i/>
          <w:color w:val="000000"/>
        </w:rPr>
        <w:t>displace</w:t>
      </w:r>
      <w:r w:rsidRPr="00FD4518">
        <w:rPr>
          <w:rFonts w:cs="Times New Roman"/>
          <w:color w:val="000000"/>
        </w:rPr>
        <w:t xml:space="preserve"> productive investment, take place at the expense of it. Diversion will be said to occur </w:t>
      </w:r>
      <w:r w:rsidR="00EB7395">
        <w:rPr>
          <w:rFonts w:cs="Times New Roman"/>
          <w:color w:val="000000"/>
        </w:rPr>
        <w:t xml:space="preserve">if and </w:t>
      </w:r>
      <w:r w:rsidRPr="00FD4518">
        <w:rPr>
          <w:rFonts w:cs="Times New Roman"/>
          <w:color w:val="000000"/>
        </w:rPr>
        <w:t xml:space="preserve">only if the increases in financial purchases and payments depress the share of profit that is invested in production. An equivalent way of stating this condition is that the percentage growth </w:t>
      </w:r>
      <w:r w:rsidR="00054059" w:rsidRPr="00FD4518">
        <w:rPr>
          <w:rFonts w:cs="Times New Roman"/>
          <w:color w:val="000000"/>
        </w:rPr>
        <w:t>rate of</w:t>
      </w:r>
      <w:r w:rsidRPr="00FD4518">
        <w:rPr>
          <w:rFonts w:cs="Times New Roman"/>
          <w:color w:val="000000"/>
        </w:rPr>
        <w:t xml:space="preserve"> those financial purchases and payments </w:t>
      </w:r>
      <w:r w:rsidRPr="00FD4518">
        <w:rPr>
          <w:rFonts w:cs="Times New Roman"/>
          <w:i/>
          <w:color w:val="000000"/>
        </w:rPr>
        <w:t>that are not funded out of additional borrowing</w:t>
      </w:r>
      <w:r w:rsidRPr="00FD4518">
        <w:rPr>
          <w:rFonts w:cs="Times New Roman"/>
          <w:color w:val="000000"/>
        </w:rPr>
        <w:t xml:space="preserve"> exceeds the percentage </w:t>
      </w:r>
      <w:r w:rsidR="00054059" w:rsidRPr="00FD4518">
        <w:rPr>
          <w:rFonts w:cs="Times New Roman"/>
          <w:color w:val="000000"/>
        </w:rPr>
        <w:t xml:space="preserve">growth </w:t>
      </w:r>
      <w:r w:rsidRPr="00FD4518">
        <w:rPr>
          <w:rFonts w:cs="Times New Roman"/>
          <w:color w:val="000000"/>
        </w:rPr>
        <w:t>rate of profit.</w:t>
      </w:r>
      <w:r w:rsidR="00695CAE">
        <w:rPr>
          <w:rStyle w:val="FootnoteReference"/>
          <w:rFonts w:cs="Times New Roman"/>
          <w:color w:val="000000"/>
        </w:rPr>
        <w:footnoteReference w:id="7"/>
      </w:r>
      <w:r w:rsidRPr="00FD4518">
        <w:rPr>
          <w:rFonts w:cs="Times New Roman"/>
          <w:color w:val="000000"/>
        </w:rPr>
        <w:t xml:space="preserve"> </w:t>
      </w:r>
    </w:p>
    <w:p w:rsidR="006B4C3B" w:rsidRDefault="00C66FAA" w:rsidP="00FD4518">
      <w:pPr>
        <w:spacing w:line="480" w:lineRule="auto"/>
        <w:rPr>
          <w:rFonts w:cs="Times New Roman"/>
          <w:color w:val="000000"/>
        </w:rPr>
      </w:pPr>
      <w:r>
        <w:rPr>
          <w:rFonts w:cs="Times New Roman"/>
          <w:color w:val="000000"/>
        </w:rPr>
        <w:t xml:space="preserve"> </w:t>
      </w:r>
      <w:r w:rsidR="00695CAE">
        <w:rPr>
          <w:rFonts w:cs="Times New Roman"/>
          <w:color w:val="000000"/>
        </w:rPr>
        <w:tab/>
      </w:r>
      <w:r w:rsidR="00792ADD">
        <w:rPr>
          <w:rFonts w:cs="Times New Roman"/>
          <w:color w:val="000000"/>
        </w:rPr>
        <w:t xml:space="preserve">One reason why the financialization literature has often arrived at conclusions that seem </w:t>
      </w:r>
      <w:r w:rsidR="00792ADD" w:rsidRPr="00532DB7">
        <w:rPr>
          <w:rFonts w:cs="Times New Roman"/>
          <w:color w:val="000000"/>
        </w:rPr>
        <w:t>to be at variance with ours</w:t>
      </w:r>
      <w:r w:rsidR="00792ADD">
        <w:rPr>
          <w:rFonts w:cs="Times New Roman"/>
          <w:color w:val="000000"/>
        </w:rPr>
        <w:t xml:space="preserve"> is that it fails to make the distinction we have stressed here, between the diversion of profit from productive investment and the relative increase in financial purchases and payments. </w:t>
      </w:r>
      <w:r w:rsidR="00D813D6" w:rsidRPr="004A6F82">
        <w:rPr>
          <w:rFonts w:cs="Times New Roman"/>
          <w:color w:val="000000"/>
        </w:rPr>
        <w:t xml:space="preserve">For instance, Orhangazi (2007, p. 8) wrote that </w:t>
      </w:r>
      <w:r w:rsidR="0071600A">
        <w:rPr>
          <w:rFonts w:cs="Times New Roman"/>
          <w:color w:val="000000"/>
        </w:rPr>
        <w:t>“</w:t>
      </w:r>
      <w:r w:rsidR="00D813D6" w:rsidRPr="004A6F82">
        <w:rPr>
          <w:rFonts w:eastAsia="Times New Roman" w:cs="Times New Roman"/>
          <w:color w:val="000000"/>
          <w:kern w:val="0"/>
          <w:lang w:eastAsia="en-US" w:bidi="ar-SA"/>
        </w:rPr>
        <w:t>the percent of internal funds paid to financial markets each year has risen dramatically</w:t>
      </w:r>
      <w:r w:rsidR="00CC498A" w:rsidRPr="004A6F82">
        <w:rPr>
          <w:rFonts w:eastAsia="Times New Roman" w:cs="Times New Roman"/>
          <w:color w:val="000000"/>
          <w:kern w:val="0"/>
          <w:lang w:eastAsia="en-US" w:bidi="ar-SA"/>
        </w:rPr>
        <w:t>.</w:t>
      </w:r>
      <w:r w:rsidR="004B1A05" w:rsidRPr="004A6F82">
        <w:rPr>
          <w:rFonts w:eastAsia="Times New Roman" w:cs="Times New Roman"/>
          <w:color w:val="000000"/>
          <w:kern w:val="0"/>
          <w:lang w:eastAsia="en-US" w:bidi="ar-SA"/>
        </w:rPr>
        <w:t xml:space="preserve"> </w:t>
      </w:r>
      <w:r w:rsidR="004B1A05" w:rsidRPr="0074737D">
        <w:rPr>
          <w:rFonts w:eastAsia="Times New Roman" w:cs="Times New Roman"/>
          <w:color w:val="000000"/>
          <w:kern w:val="0"/>
          <w:lang w:eastAsia="en-US" w:bidi="ar-SA"/>
        </w:rPr>
        <w:t>This creates three distinct restraints on real investment.</w:t>
      </w:r>
      <w:r w:rsidR="0071600A">
        <w:rPr>
          <w:rFonts w:cs="Times New Roman"/>
          <w:color w:val="000000"/>
        </w:rPr>
        <w:t>”</w:t>
      </w:r>
      <w:r w:rsidR="00D813D6" w:rsidRPr="004A6F82">
        <w:rPr>
          <w:rFonts w:cs="Times New Roman"/>
          <w:color w:val="000000"/>
        </w:rPr>
        <w:t xml:space="preserve"> </w:t>
      </w:r>
      <w:r w:rsidR="00CC498A" w:rsidRPr="004A6F82">
        <w:rPr>
          <w:rFonts w:cs="Times New Roman"/>
          <w:color w:val="000000"/>
        </w:rPr>
        <w:t>He was</w:t>
      </w:r>
      <w:r w:rsidR="00CC498A">
        <w:rPr>
          <w:rFonts w:cs="Times New Roman"/>
          <w:color w:val="000000"/>
        </w:rPr>
        <w:t xml:space="preserve"> evidently referring to a graph </w:t>
      </w:r>
      <w:r w:rsidR="004B1A05">
        <w:rPr>
          <w:rFonts w:cs="Times New Roman"/>
          <w:color w:val="000000"/>
        </w:rPr>
        <w:t xml:space="preserve">(Orhangazi 2007, p. 44, Figure 2) which </w:t>
      </w:r>
      <w:r w:rsidR="00CC498A">
        <w:rPr>
          <w:rFonts w:cs="Times New Roman"/>
          <w:color w:val="000000"/>
        </w:rPr>
        <w:t xml:space="preserve">showed, correctly, that </w:t>
      </w:r>
      <w:r w:rsidR="004B1A05">
        <w:rPr>
          <w:rFonts w:cs="Times New Roman"/>
          <w:color w:val="000000"/>
        </w:rPr>
        <w:t>interest and dividend</w:t>
      </w:r>
      <w:r w:rsidR="00CC498A">
        <w:rPr>
          <w:rFonts w:cs="Times New Roman"/>
          <w:color w:val="000000"/>
        </w:rPr>
        <w:t xml:space="preserve"> payments </w:t>
      </w:r>
      <w:r w:rsidR="004B1A05">
        <w:rPr>
          <w:rFonts w:cs="Times New Roman"/>
          <w:color w:val="000000"/>
        </w:rPr>
        <w:t xml:space="preserve">have risen </w:t>
      </w:r>
      <w:r w:rsidR="00DE5A01">
        <w:rPr>
          <w:rFonts w:cs="Times New Roman"/>
          <w:color w:val="000000"/>
        </w:rPr>
        <w:t xml:space="preserve">when </w:t>
      </w:r>
      <w:r w:rsidR="00DE5A01" w:rsidRPr="0074737D">
        <w:rPr>
          <w:rFonts w:cs="Times New Roman"/>
          <w:i/>
          <w:color w:val="000000"/>
        </w:rPr>
        <w:lastRenderedPageBreak/>
        <w:t>expressed</w:t>
      </w:r>
      <w:r w:rsidR="00DE5A01">
        <w:rPr>
          <w:rFonts w:cs="Times New Roman"/>
          <w:color w:val="000000"/>
        </w:rPr>
        <w:t xml:space="preserve"> </w:t>
      </w:r>
      <w:r w:rsidR="004B1A05">
        <w:rPr>
          <w:rFonts w:cs="Times New Roman"/>
          <w:i/>
          <w:color w:val="000000"/>
        </w:rPr>
        <w:t xml:space="preserve">as a percentage of </w:t>
      </w:r>
      <w:r w:rsidR="00CC498A">
        <w:rPr>
          <w:rFonts w:cs="Times New Roman"/>
          <w:color w:val="000000"/>
        </w:rPr>
        <w:t xml:space="preserve">internal funds. </w:t>
      </w:r>
      <w:r w:rsidR="00D2139D">
        <w:rPr>
          <w:rFonts w:cs="Times New Roman"/>
          <w:color w:val="000000"/>
        </w:rPr>
        <w:t xml:space="preserve">However, the statement that </w:t>
      </w:r>
      <w:r w:rsidR="00CC498A">
        <w:rPr>
          <w:rFonts w:cs="Times New Roman"/>
          <w:color w:val="000000"/>
        </w:rPr>
        <w:t xml:space="preserve">these financial </w:t>
      </w:r>
    </w:p>
    <w:p w:rsidR="00DE5A01" w:rsidRDefault="006B4C3B" w:rsidP="00FD4518">
      <w:pPr>
        <w:spacing w:line="480" w:lineRule="auto"/>
        <w:rPr>
          <w:rFonts w:cs="Times New Roman"/>
          <w:color w:val="000000"/>
        </w:rPr>
      </w:pPr>
      <w:r>
        <w:rPr>
          <w:rFonts w:cs="Times New Roman"/>
          <w:color w:val="000000"/>
        </w:rPr>
        <w:t xml:space="preserve">payments were </w:t>
      </w:r>
      <w:r w:rsidRPr="00532DB7">
        <w:rPr>
          <w:rFonts w:cs="Times New Roman"/>
          <w:i/>
          <w:color w:val="000000"/>
        </w:rPr>
        <w:t>paid out of</w:t>
      </w:r>
      <w:r>
        <w:rPr>
          <w:rFonts w:cs="Times New Roman"/>
          <w:color w:val="000000"/>
        </w:rPr>
        <w:t xml:space="preserve"> internal funds is incorrect. By definition, they cannot be.</w:t>
      </w:r>
      <w:r w:rsidRPr="00532DB7">
        <w:rPr>
          <w:rStyle w:val="FootnoteReference"/>
          <w:rFonts w:cs="Times New Roman"/>
          <w:color w:val="000000"/>
        </w:rPr>
        <w:footnoteReference w:id="8"/>
      </w:r>
      <w:r>
        <w:rPr>
          <w:rFonts w:cs="Times New Roman"/>
          <w:color w:val="000000"/>
        </w:rPr>
        <w:t xml:space="preserve"> The </w:t>
      </w:r>
      <w:r w:rsidR="00DE5A01">
        <w:rPr>
          <w:rFonts w:cs="Times New Roman"/>
          <w:color w:val="000000"/>
        </w:rPr>
        <w:t xml:space="preserve">statement also misleadingly suggests that, since </w:t>
      </w:r>
      <w:r w:rsidR="00DE5A01" w:rsidRPr="00532DB7">
        <w:rPr>
          <w:rFonts w:cs="Times New Roman"/>
          <w:color w:val="000000"/>
        </w:rPr>
        <w:t xml:space="preserve">a greater share of internal funds has been used to make financial payments, </w:t>
      </w:r>
      <w:r w:rsidR="00E61556">
        <w:rPr>
          <w:rFonts w:cs="Times New Roman"/>
          <w:color w:val="000000"/>
        </w:rPr>
        <w:t xml:space="preserve">a smaller share has been </w:t>
      </w:r>
      <w:r w:rsidR="00DE5A01" w:rsidRPr="00532DB7">
        <w:rPr>
          <w:rFonts w:cs="Times New Roman"/>
          <w:color w:val="000000"/>
        </w:rPr>
        <w:t>productively invested</w:t>
      </w:r>
      <w:r w:rsidR="00DC634F">
        <w:rPr>
          <w:rFonts w:cs="Times New Roman"/>
          <w:color w:val="000000"/>
        </w:rPr>
        <w:t>. In fact, n</w:t>
      </w:r>
      <w:r w:rsidR="00DC634F" w:rsidRPr="00532DB7">
        <w:t>onfinancial corporations</w:t>
      </w:r>
      <w:r w:rsidR="0071600A">
        <w:t>’</w:t>
      </w:r>
      <w:r w:rsidR="00DC634F" w:rsidRPr="00532DB7">
        <w:t xml:space="preserve"> </w:t>
      </w:r>
      <w:r w:rsidR="008A4298">
        <w:t xml:space="preserve">gross </w:t>
      </w:r>
      <w:r w:rsidR="00DC634F" w:rsidRPr="00532DB7">
        <w:t>fixed investment was equal on average to 95% of the book value of their domestic internal funds between 1947 and 1980, but 105% between 1981 and 2007.</w:t>
      </w:r>
      <w:r w:rsidR="00DE5A01" w:rsidRPr="00532DB7">
        <w:rPr>
          <w:rFonts w:cs="Times New Roman"/>
          <w:color w:val="000000"/>
        </w:rPr>
        <w:t xml:space="preserve"> </w:t>
      </w:r>
    </w:p>
    <w:p w:rsidR="006B4C3B" w:rsidRDefault="006B4C3B" w:rsidP="0074737D">
      <w:pPr>
        <w:pStyle w:val="BodyText"/>
        <w:widowControl/>
        <w:suppressAutoHyphens w:val="0"/>
        <w:spacing w:after="0" w:line="480" w:lineRule="auto"/>
        <w:contextualSpacing/>
        <w:jc w:val="center"/>
        <w:rPr>
          <w:rFonts w:cs="Times New Roman"/>
          <w:color w:val="000000"/>
        </w:rPr>
      </w:pPr>
    </w:p>
    <w:p w:rsidR="006B4C3B" w:rsidRDefault="006B4C3B" w:rsidP="0074737D">
      <w:pPr>
        <w:pStyle w:val="BodyText"/>
        <w:widowControl/>
        <w:suppressAutoHyphens w:val="0"/>
        <w:spacing w:after="0" w:line="480" w:lineRule="auto"/>
        <w:contextualSpacing/>
        <w:rPr>
          <w:rFonts w:cs="Times New Roman"/>
          <w:b/>
          <w:bCs/>
          <w:color w:val="000000"/>
        </w:rPr>
      </w:pPr>
    </w:p>
    <w:p w:rsidR="002E34C6" w:rsidRDefault="00F41C5F" w:rsidP="0074737D">
      <w:pPr>
        <w:pStyle w:val="BodyText"/>
        <w:widowControl/>
        <w:suppressAutoHyphens w:val="0"/>
        <w:spacing w:after="0" w:line="480" w:lineRule="auto"/>
        <w:contextualSpacing/>
        <w:jc w:val="center"/>
        <w:rPr>
          <w:rFonts w:cs="Times New Roman"/>
          <w:b/>
          <w:bCs/>
          <w:color w:val="000000"/>
        </w:rPr>
      </w:pPr>
      <w:r>
        <w:rPr>
          <w:rFonts w:cs="Times New Roman"/>
          <w:b/>
          <w:bCs/>
          <w:color w:val="000000"/>
        </w:rPr>
        <w:t xml:space="preserve">2. </w:t>
      </w:r>
      <w:r w:rsidR="00E17EE3">
        <w:rPr>
          <w:rFonts w:cs="Times New Roman"/>
          <w:b/>
          <w:bCs/>
          <w:color w:val="000000"/>
        </w:rPr>
        <w:t xml:space="preserve">Financialization </w:t>
      </w:r>
      <w:r>
        <w:rPr>
          <w:rFonts w:cs="Times New Roman"/>
          <w:b/>
          <w:bCs/>
          <w:color w:val="000000"/>
        </w:rPr>
        <w:t>Trends</w:t>
      </w:r>
    </w:p>
    <w:p w:rsidR="00AC0E9D" w:rsidRPr="005957E2" w:rsidRDefault="00AC0E9D" w:rsidP="0074737D">
      <w:pPr>
        <w:pStyle w:val="BodyText"/>
        <w:widowControl/>
        <w:suppressAutoHyphens w:val="0"/>
        <w:spacing w:after="0" w:line="480" w:lineRule="auto"/>
        <w:contextualSpacing/>
        <w:rPr>
          <w:rFonts w:cs="Times New Roman"/>
          <w:color w:val="000000"/>
        </w:rPr>
      </w:pPr>
      <w:r w:rsidRPr="005957E2">
        <w:rPr>
          <w:rFonts w:cs="Times New Roman"/>
          <w:color w:val="000000"/>
        </w:rPr>
        <w:t xml:space="preserve">The rate of capital accumulation is the percentage rate of growth of the capital invested in production. Figure </w:t>
      </w:r>
      <w:r w:rsidR="00173E3A">
        <w:rPr>
          <w:rFonts w:cs="Times New Roman"/>
          <w:color w:val="000000"/>
        </w:rPr>
        <w:t>1</w:t>
      </w:r>
      <w:r w:rsidR="00173E3A" w:rsidRPr="005957E2">
        <w:rPr>
          <w:rFonts w:cs="Times New Roman"/>
          <w:color w:val="000000"/>
        </w:rPr>
        <w:t xml:space="preserve"> </w:t>
      </w:r>
      <w:r w:rsidRPr="005957E2">
        <w:rPr>
          <w:rFonts w:cs="Times New Roman"/>
          <w:color w:val="000000"/>
        </w:rPr>
        <w:t>shows movements in U.S. corporations</w:t>
      </w:r>
      <w:r w:rsidR="0071600A">
        <w:rPr>
          <w:rFonts w:cs="Times New Roman"/>
          <w:color w:val="000000"/>
        </w:rPr>
        <w:t>’</w:t>
      </w:r>
      <w:r w:rsidRPr="005957E2">
        <w:rPr>
          <w:rFonts w:cs="Times New Roman"/>
          <w:color w:val="000000"/>
        </w:rPr>
        <w:t xml:space="preserve"> rate of accumulation of fixed assets, i.e., their current net investment in fixed assets as a percentage of their existing accumulated investment (the net stock of their fixed assets at historical cost). The rate of accumulation fell markedly during the last three decades. When net investment (gross investment minus depreciation) is measured in historical-cost terms, the rate of accumulation plummeted from 13.3% in 1979 to an average of 4.3% between 2001 and 2007, a fall of 67%. Some of the fall reflects the fact that the cost of replacing depreciated fixed assets, relative to their original acquisition cost, declined markedly as the rate of inflation declined, beginning in the early 1980s. If we adjust for the effect of inflation by measuring net investment in current-cost terms, we obtain the dashed rate of accumulation shown in Figure </w:t>
      </w:r>
      <w:r w:rsidR="00173E3A">
        <w:rPr>
          <w:rFonts w:cs="Times New Roman"/>
          <w:color w:val="000000"/>
        </w:rPr>
        <w:t>1</w:t>
      </w:r>
      <w:r w:rsidRPr="005957E2">
        <w:rPr>
          <w:rFonts w:cs="Times New Roman"/>
          <w:color w:val="000000"/>
        </w:rPr>
        <w:t xml:space="preserve">. It fell from 9.0% in 1979 to an average of 3.0% between 2001 and 2007. In terms of </w:t>
      </w:r>
      <w:r w:rsidRPr="005957E2">
        <w:rPr>
          <w:rFonts w:cs="Times New Roman"/>
          <w:i/>
          <w:color w:val="000000"/>
        </w:rPr>
        <w:t>percentage points</w:t>
      </w:r>
      <w:r w:rsidRPr="005957E2">
        <w:rPr>
          <w:rFonts w:cs="Times New Roman"/>
          <w:color w:val="000000"/>
        </w:rPr>
        <w:t xml:space="preserve">, the decline in this </w:t>
      </w:r>
      <w:r w:rsidRPr="005957E2">
        <w:rPr>
          <w:rFonts w:cs="Times New Roman"/>
          <w:color w:val="000000"/>
        </w:rPr>
        <w:lastRenderedPageBreak/>
        <w:t xml:space="preserve">second rate of accumulation was much less than the decline in the first, but the </w:t>
      </w:r>
      <w:r w:rsidRPr="005957E2">
        <w:rPr>
          <w:rFonts w:cs="Times New Roman"/>
          <w:i/>
          <w:color w:val="000000"/>
        </w:rPr>
        <w:t>percentage</w:t>
      </w:r>
      <w:r w:rsidRPr="005957E2">
        <w:rPr>
          <w:rFonts w:cs="Times New Roman"/>
          <w:color w:val="000000"/>
        </w:rPr>
        <w:t xml:space="preserve"> decline, 66%, was almost exactly the same. Thus, the rate of accumulation fell to about one-third of its peak level of 1979 however one values depreciation. </w:t>
      </w:r>
    </w:p>
    <w:p w:rsidR="00173E3A" w:rsidRDefault="00173E3A" w:rsidP="00EC1E7C">
      <w:pPr>
        <w:pStyle w:val="BodyText"/>
        <w:widowControl/>
        <w:suppressAutoHyphens w:val="0"/>
        <w:spacing w:after="0" w:line="720" w:lineRule="auto"/>
        <w:ind w:firstLine="706"/>
        <w:contextualSpacing/>
        <w:rPr>
          <w:rFonts w:cs="Times New Roman"/>
          <w:b/>
          <w:color w:val="000000"/>
        </w:rPr>
      </w:pPr>
    </w:p>
    <w:p w:rsidR="00AC0E9D" w:rsidRPr="005957E2" w:rsidRDefault="00AC0E9D" w:rsidP="0074737D">
      <w:pPr>
        <w:pStyle w:val="BodyText"/>
        <w:widowControl/>
        <w:suppressAutoHyphens w:val="0"/>
        <w:spacing w:after="0"/>
        <w:contextualSpacing/>
        <w:rPr>
          <w:rFonts w:cs="Times New Roman"/>
          <w:b/>
          <w:color w:val="000000"/>
        </w:rPr>
      </w:pPr>
      <w:r w:rsidRPr="005957E2">
        <w:rPr>
          <w:rFonts w:cs="Times New Roman"/>
          <w:b/>
          <w:color w:val="000000"/>
        </w:rPr>
        <w:t xml:space="preserve">Figure </w:t>
      </w:r>
      <w:r w:rsidR="00173E3A">
        <w:rPr>
          <w:rFonts w:cs="Times New Roman"/>
          <w:b/>
          <w:color w:val="000000"/>
        </w:rPr>
        <w:t>1</w:t>
      </w:r>
      <w:r w:rsidRPr="005957E2">
        <w:rPr>
          <w:rFonts w:cs="Times New Roman"/>
          <w:b/>
          <w:color w:val="000000"/>
        </w:rPr>
        <w:t xml:space="preserve">. Rate of Accumulation of Fixed Assets, U.S. Corporations </w:t>
      </w:r>
    </w:p>
    <w:p w:rsidR="00AC0E9D" w:rsidRPr="005957E2" w:rsidRDefault="00AC0E9D" w:rsidP="0074737D">
      <w:pPr>
        <w:pStyle w:val="BodyText"/>
        <w:widowControl/>
        <w:suppressAutoHyphens w:val="0"/>
        <w:spacing w:after="0"/>
        <w:contextualSpacing/>
        <w:rPr>
          <w:rFonts w:cs="Times New Roman"/>
          <w:color w:val="000000"/>
        </w:rPr>
      </w:pPr>
      <w:r w:rsidRPr="005957E2">
        <w:rPr>
          <w:rFonts w:cs="Times New Roman"/>
          <w:color w:val="000000"/>
        </w:rPr>
        <w:t>(net investment as percentage of accumulated investment [net stock of fixed assets])</w:t>
      </w:r>
    </w:p>
    <w:p w:rsidR="00AC0E9D" w:rsidRPr="005957E2" w:rsidRDefault="00AC0E9D" w:rsidP="0074737D">
      <w:pPr>
        <w:pStyle w:val="BodyText"/>
        <w:widowControl/>
        <w:suppressAutoHyphens w:val="0"/>
        <w:spacing w:after="0" w:line="480" w:lineRule="auto"/>
        <w:contextualSpacing/>
        <w:rPr>
          <w:rFonts w:cs="Times New Roman"/>
          <w:color w:val="000000"/>
        </w:rPr>
      </w:pPr>
      <w:r w:rsidRPr="00A737A7">
        <w:rPr>
          <w:rFonts w:cs="Times New Roman"/>
          <w:noProof/>
          <w:lang w:eastAsia="en-US" w:bidi="ar-SA"/>
        </w:rPr>
        <w:drawing>
          <wp:inline distT="0" distB="0" distL="0" distR="0" wp14:anchorId="0E2B9410" wp14:editId="38DBE1C9">
            <wp:extent cx="5943600" cy="3829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4C3B" w:rsidRDefault="006B4C3B" w:rsidP="0074737D">
      <w:pPr>
        <w:pStyle w:val="BodyText"/>
        <w:widowControl/>
        <w:suppressAutoHyphens w:val="0"/>
        <w:spacing w:after="0" w:line="720" w:lineRule="auto"/>
        <w:contextualSpacing/>
        <w:rPr>
          <w:rFonts w:cs="Times New Roman"/>
          <w:color w:val="000000"/>
        </w:rPr>
      </w:pPr>
    </w:p>
    <w:p w:rsidR="00AC0E9D" w:rsidRPr="005957E2" w:rsidRDefault="006B4C3B" w:rsidP="00EC1E7C">
      <w:pPr>
        <w:pStyle w:val="BodyText"/>
        <w:suppressAutoHyphens w:val="0"/>
        <w:spacing w:after="0" w:line="480" w:lineRule="auto"/>
        <w:ind w:firstLine="706"/>
        <w:contextualSpacing/>
        <w:rPr>
          <w:rFonts w:cs="Times New Roman"/>
          <w:color w:val="000000"/>
        </w:rPr>
      </w:pPr>
      <w:r w:rsidRPr="005957E2">
        <w:rPr>
          <w:rFonts w:cs="Times New Roman"/>
          <w:color w:val="000000"/>
        </w:rPr>
        <w:t>Yet as the rate of accumulation declined, nonfinancial corporations substantially increased their acquisition of financial assets in relation to their acquisition of productive fixed assets.</w:t>
      </w:r>
      <w:r w:rsidRPr="005957E2">
        <w:rPr>
          <w:rStyle w:val="FootnoteReference"/>
          <w:rFonts w:cs="Times New Roman"/>
          <w:color w:val="000000"/>
        </w:rPr>
        <w:footnoteReference w:id="9"/>
      </w:r>
      <w:r w:rsidRPr="005957E2">
        <w:rPr>
          <w:rFonts w:cs="Times New Roman"/>
          <w:color w:val="000000"/>
        </w:rPr>
        <w:t xml:space="preserve"> As </w:t>
      </w:r>
      <w:r>
        <w:rPr>
          <w:rFonts w:cs="Times New Roman"/>
          <w:color w:val="000000"/>
        </w:rPr>
        <w:t>F</w:t>
      </w:r>
      <w:r w:rsidRPr="005957E2">
        <w:rPr>
          <w:rFonts w:cs="Times New Roman"/>
          <w:color w:val="000000"/>
        </w:rPr>
        <w:t xml:space="preserve">igure </w:t>
      </w:r>
      <w:r>
        <w:rPr>
          <w:rFonts w:cs="Times New Roman"/>
          <w:color w:val="000000"/>
        </w:rPr>
        <w:t>2</w:t>
      </w:r>
      <w:r w:rsidRPr="005957E2">
        <w:rPr>
          <w:rFonts w:cs="Times New Roman"/>
          <w:color w:val="000000"/>
        </w:rPr>
        <w:t xml:space="preserve"> shows, their financial assets increased as a share of their total </w:t>
      </w:r>
      <w:r>
        <w:rPr>
          <w:rFonts w:cs="Times New Roman"/>
          <w:color w:val="000000"/>
        </w:rPr>
        <w:t xml:space="preserve">assets </w:t>
      </w:r>
      <w:r w:rsidRPr="005957E2">
        <w:rPr>
          <w:rFonts w:cs="Times New Roman"/>
          <w:color w:val="000000"/>
        </w:rPr>
        <w:lastRenderedPageBreak/>
        <w:t xml:space="preserve">(financial </w:t>
      </w:r>
      <w:r>
        <w:rPr>
          <w:rFonts w:cs="Times New Roman"/>
          <w:color w:val="000000"/>
        </w:rPr>
        <w:t xml:space="preserve">assets </w:t>
      </w:r>
      <w:r w:rsidRPr="005957E2">
        <w:rPr>
          <w:rFonts w:cs="Times New Roman"/>
          <w:color w:val="000000"/>
        </w:rPr>
        <w:t>plus fixed</w:t>
      </w:r>
      <w:r>
        <w:rPr>
          <w:rFonts w:cs="Times New Roman"/>
          <w:color w:val="000000"/>
        </w:rPr>
        <w:t xml:space="preserve"> assets as valued at current cost</w:t>
      </w:r>
      <w:r w:rsidRPr="005957E2">
        <w:rPr>
          <w:rFonts w:cs="Times New Roman"/>
          <w:color w:val="000000"/>
        </w:rPr>
        <w:t>) from 36% to 56%, a rise of more than</w:t>
      </w:r>
    </w:p>
    <w:p w:rsidR="002E34C6" w:rsidRPr="005957E2" w:rsidRDefault="00EB7395" w:rsidP="0074737D">
      <w:pPr>
        <w:pStyle w:val="BodyText"/>
        <w:widowControl/>
        <w:suppressAutoHyphens w:val="0"/>
        <w:spacing w:after="0" w:line="480" w:lineRule="auto"/>
        <w:contextualSpacing/>
        <w:rPr>
          <w:rFonts w:cs="Times New Roman"/>
          <w:color w:val="800000"/>
        </w:rPr>
      </w:pPr>
      <w:r>
        <w:rPr>
          <w:rFonts w:cs="Times New Roman"/>
          <w:color w:val="000000"/>
        </w:rPr>
        <w:t xml:space="preserve"> </w:t>
      </w:r>
      <w:r w:rsidR="00157193" w:rsidRPr="005957E2">
        <w:rPr>
          <w:rFonts w:cs="Times New Roman"/>
          <w:color w:val="000000"/>
        </w:rPr>
        <w:t>50%, between 1982 and 2007.</w:t>
      </w:r>
      <w:r>
        <w:rPr>
          <w:rFonts w:cs="Times New Roman"/>
          <w:color w:val="000000"/>
        </w:rPr>
        <w:t xml:space="preserve"> </w:t>
      </w:r>
      <w:r w:rsidR="002E34C6" w:rsidRPr="005957E2">
        <w:rPr>
          <w:rFonts w:cs="Times New Roman"/>
          <w:color w:val="000000"/>
        </w:rPr>
        <w:t xml:space="preserve">This </w:t>
      </w:r>
      <w:r w:rsidR="00FF5152" w:rsidRPr="005957E2">
        <w:rPr>
          <w:rFonts w:cs="Times New Roman"/>
          <w:color w:val="000000"/>
        </w:rPr>
        <w:t xml:space="preserve">rise </w:t>
      </w:r>
      <w:r w:rsidR="002E34C6" w:rsidRPr="005957E2">
        <w:rPr>
          <w:rFonts w:cs="Times New Roman"/>
          <w:color w:val="000000"/>
        </w:rPr>
        <w:t>is often cited as evidence by those who argue that financialization has diverted profit from production to financial markets (Krippner 2011</w:t>
      </w:r>
      <w:r w:rsidR="00D50F4E">
        <w:rPr>
          <w:rFonts w:cs="Times New Roman"/>
          <w:color w:val="000000"/>
        </w:rPr>
        <w:t>;</w:t>
      </w:r>
      <w:r w:rsidR="002E34C6" w:rsidRPr="005957E2">
        <w:rPr>
          <w:rFonts w:cs="Times New Roman"/>
          <w:color w:val="000000"/>
        </w:rPr>
        <w:t xml:space="preserve"> Orhangazi 2007).</w:t>
      </w:r>
      <w:r w:rsidR="002E34C6" w:rsidRPr="005957E2">
        <w:rPr>
          <w:rFonts w:cs="Times New Roman"/>
          <w:color w:val="800000"/>
        </w:rPr>
        <w:t xml:space="preserve"> </w:t>
      </w:r>
    </w:p>
    <w:p w:rsidR="00DA6571" w:rsidRDefault="00DA6571" w:rsidP="0074737D">
      <w:pPr>
        <w:pStyle w:val="BodyText"/>
        <w:widowControl/>
        <w:suppressAutoHyphens w:val="0"/>
        <w:spacing w:after="0" w:line="720" w:lineRule="auto"/>
        <w:contextualSpacing/>
        <w:rPr>
          <w:rFonts w:cs="Times New Roman"/>
          <w:color w:val="800000"/>
        </w:rPr>
      </w:pPr>
    </w:p>
    <w:p w:rsidR="00EC4F87" w:rsidRPr="005957E2" w:rsidRDefault="00157193" w:rsidP="0074737D">
      <w:pPr>
        <w:pStyle w:val="BodyText"/>
        <w:widowControl/>
        <w:suppressAutoHyphens w:val="0"/>
        <w:spacing w:after="0"/>
        <w:contextualSpacing/>
        <w:rPr>
          <w:rFonts w:cs="Times New Roman"/>
          <w:b/>
          <w:bCs/>
        </w:rPr>
      </w:pPr>
      <w:r w:rsidRPr="005957E2">
        <w:rPr>
          <w:rFonts w:cs="Times New Roman"/>
          <w:b/>
        </w:rPr>
        <w:t xml:space="preserve">Figure </w:t>
      </w:r>
      <w:r w:rsidR="00173E3A">
        <w:rPr>
          <w:rFonts w:cs="Times New Roman"/>
          <w:b/>
        </w:rPr>
        <w:t>2</w:t>
      </w:r>
      <w:r w:rsidRPr="005957E2">
        <w:rPr>
          <w:rFonts w:cs="Times New Roman"/>
          <w:b/>
        </w:rPr>
        <w:t>.</w:t>
      </w:r>
      <w:r w:rsidRPr="005957E2">
        <w:rPr>
          <w:rFonts w:cs="Times New Roman"/>
        </w:rPr>
        <w:t xml:space="preserve"> </w:t>
      </w:r>
      <w:r w:rsidRPr="005957E2">
        <w:rPr>
          <w:rFonts w:cs="Times New Roman"/>
          <w:b/>
          <w:bCs/>
        </w:rPr>
        <w:t xml:space="preserve">Financial Assets, U.S. Nonfinancial Corporations </w:t>
      </w:r>
    </w:p>
    <w:p w:rsidR="00157193" w:rsidRPr="005957E2" w:rsidRDefault="00157193" w:rsidP="0074737D">
      <w:pPr>
        <w:pStyle w:val="BodyText"/>
        <w:widowControl/>
        <w:suppressAutoHyphens w:val="0"/>
        <w:spacing w:after="0"/>
        <w:contextualSpacing/>
        <w:rPr>
          <w:rFonts w:cs="Times New Roman"/>
        </w:rPr>
      </w:pPr>
      <w:r w:rsidRPr="005957E2">
        <w:rPr>
          <w:rFonts w:cs="Times New Roman"/>
          <w:b/>
          <w:bCs/>
        </w:rPr>
        <w:t>(</w:t>
      </w:r>
      <w:r w:rsidRPr="005957E2">
        <w:rPr>
          <w:rFonts w:cs="Times New Roman"/>
        </w:rPr>
        <w:t>as percentage of total fixed &amp; financial assets)</w:t>
      </w:r>
    </w:p>
    <w:p w:rsidR="00157193" w:rsidRDefault="00157193" w:rsidP="0074737D">
      <w:pPr>
        <w:pStyle w:val="BodyText"/>
        <w:widowControl/>
        <w:suppressAutoHyphens w:val="0"/>
        <w:spacing w:after="0" w:line="480" w:lineRule="auto"/>
        <w:contextualSpacing/>
        <w:rPr>
          <w:rFonts w:cs="Times New Roman"/>
          <w:color w:val="800000"/>
        </w:rPr>
      </w:pPr>
      <w:r w:rsidRPr="00A737A7">
        <w:rPr>
          <w:rFonts w:cs="Times New Roman"/>
          <w:noProof/>
          <w:lang w:eastAsia="en-US" w:bidi="ar-SA"/>
        </w:rPr>
        <w:drawing>
          <wp:inline distT="0" distB="0" distL="0" distR="0" wp14:anchorId="6671A9CB" wp14:editId="318BBF6B">
            <wp:extent cx="5924550" cy="2971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056E" w:rsidRDefault="00204F41" w:rsidP="002D056E">
      <w:pPr>
        <w:pStyle w:val="BodyText"/>
        <w:widowControl/>
        <w:suppressAutoHyphens w:val="0"/>
        <w:spacing w:after="0" w:line="480" w:lineRule="auto"/>
        <w:contextualSpacing/>
        <w:rPr>
          <w:rFonts w:cs="Times New Roman"/>
        </w:rPr>
      </w:pPr>
      <w:r w:rsidRPr="005957E2">
        <w:rPr>
          <w:rFonts w:cs="Times New Roman"/>
          <w:color w:val="000000"/>
        </w:rPr>
        <w:t>In addition to increasing their financial investments, corporations are also paying out larger sums of cash to financial markets. Figures</w:t>
      </w:r>
      <w:r w:rsidRPr="005957E2">
        <w:rPr>
          <w:rFonts w:cs="Times New Roman"/>
        </w:rPr>
        <w:t xml:space="preserve"> </w:t>
      </w:r>
      <w:r w:rsidR="00EB7395">
        <w:rPr>
          <w:rFonts w:cs="Times New Roman"/>
        </w:rPr>
        <w:t>3, 4, and 5</w:t>
      </w:r>
      <w:r w:rsidRPr="005957E2">
        <w:rPr>
          <w:rFonts w:cs="Times New Roman"/>
        </w:rPr>
        <w:t xml:space="preserve"> show movements in nonfinancial corporations</w:t>
      </w:r>
      <w:r w:rsidR="0071600A">
        <w:rPr>
          <w:rFonts w:cs="Times New Roman"/>
        </w:rPr>
        <w:t>’</w:t>
      </w:r>
      <w:r w:rsidRPr="005957E2">
        <w:rPr>
          <w:rFonts w:cs="Times New Roman"/>
        </w:rPr>
        <w:t xml:space="preserve"> interest payments, dividend payments, and stock repurchases, expressed as shares of their net </w:t>
      </w:r>
      <w:r w:rsidRPr="005957E2">
        <w:rPr>
          <w:rFonts w:cs="Times New Roman"/>
        </w:rPr>
        <w:lastRenderedPageBreak/>
        <w:t xml:space="preserve">operating surplus (a measure of profit before exclusion of interest payments, transfer payments, and corporate income taxes). The share of net operating surplus used to pay interest tripled between 1965 and 1974, from 7% to 21%, and it remained high thereafter; the average interest share between 1974 and 2007 was 20%. The share of net operating surplus paid out as dividends was relatively stable between 1957 and 1988, but it then rose almost continually (the sharp one-year plunge in 2005 was the main exception), to a level more than double that of 1988. </w:t>
      </w:r>
      <w:r w:rsidR="00370CED" w:rsidRPr="005957E2">
        <w:rPr>
          <w:rFonts w:cs="Times New Roman"/>
        </w:rPr>
        <w:t xml:space="preserve">And there </w:t>
      </w:r>
      <w:r w:rsidR="002D056E" w:rsidRPr="005957E2">
        <w:rPr>
          <w:rFonts w:cs="Times New Roman"/>
        </w:rPr>
        <w:t>have been three periods in which stock buybacks exceeded 10% of net operating surplus––1984–1990, 1998–2000, and 2004–07.</w:t>
      </w:r>
      <w:r w:rsidR="002D056E" w:rsidRPr="005957E2">
        <w:rPr>
          <w:rStyle w:val="FootnoteReference"/>
          <w:rFonts w:cs="Times New Roman"/>
        </w:rPr>
        <w:footnoteReference w:id="10"/>
      </w:r>
      <w:r w:rsidR="002D056E" w:rsidRPr="005957E2">
        <w:rPr>
          <w:rFonts w:cs="Times New Roman"/>
        </w:rPr>
        <w:t xml:space="preserve"> </w:t>
      </w:r>
    </w:p>
    <w:p w:rsidR="002D056E" w:rsidRDefault="002D056E" w:rsidP="00701D17">
      <w:pPr>
        <w:pStyle w:val="BodyText"/>
        <w:widowControl/>
        <w:suppressAutoHyphens w:val="0"/>
        <w:spacing w:after="0" w:line="720" w:lineRule="auto"/>
        <w:contextualSpacing/>
        <w:rPr>
          <w:rFonts w:cs="Times New Roman"/>
          <w:b/>
        </w:rPr>
      </w:pPr>
    </w:p>
    <w:p w:rsidR="00C8353B" w:rsidRPr="005957E2" w:rsidRDefault="00EB7395" w:rsidP="00A105FE">
      <w:pPr>
        <w:pStyle w:val="BodyText"/>
        <w:widowControl/>
        <w:suppressAutoHyphens w:val="0"/>
        <w:spacing w:after="0"/>
        <w:contextualSpacing/>
        <w:rPr>
          <w:rFonts w:cs="Times New Roman"/>
          <w:b/>
        </w:rPr>
      </w:pPr>
      <w:r>
        <w:rPr>
          <w:rFonts w:cs="Times New Roman"/>
          <w:b/>
        </w:rPr>
        <w:t>Figure 3.</w:t>
      </w:r>
      <w:r w:rsidR="00C8353B" w:rsidRPr="005957E2">
        <w:rPr>
          <w:rFonts w:cs="Times New Roman"/>
          <w:b/>
        </w:rPr>
        <w:t xml:space="preserve"> Net Interest Payments, U.S. Nonfinancial Corporations</w:t>
      </w:r>
    </w:p>
    <w:p w:rsidR="00C8353B" w:rsidRPr="005957E2" w:rsidRDefault="00C8353B" w:rsidP="00A105FE">
      <w:pPr>
        <w:pStyle w:val="BodyText"/>
        <w:widowControl/>
        <w:suppressAutoHyphens w:val="0"/>
        <w:spacing w:after="0"/>
        <w:contextualSpacing/>
        <w:rPr>
          <w:rFonts w:cs="Times New Roman"/>
        </w:rPr>
      </w:pPr>
      <w:r w:rsidRPr="005957E2">
        <w:rPr>
          <w:rFonts w:cs="Times New Roman"/>
        </w:rPr>
        <w:t>(net interest and miscellaneous payments as percentage of net operating surplus)</w:t>
      </w:r>
    </w:p>
    <w:p w:rsidR="00204F41" w:rsidRPr="005957E2" w:rsidRDefault="00204F41" w:rsidP="00A105FE">
      <w:pPr>
        <w:pStyle w:val="BodyText"/>
        <w:widowControl/>
        <w:suppressAutoHyphens w:val="0"/>
        <w:spacing w:after="0" w:line="480" w:lineRule="auto"/>
        <w:contextualSpacing/>
        <w:rPr>
          <w:rFonts w:cs="Times New Roman"/>
        </w:rPr>
      </w:pPr>
      <w:r w:rsidRPr="00A737A7">
        <w:rPr>
          <w:rFonts w:cs="Times New Roman"/>
          <w:noProof/>
          <w:lang w:eastAsia="en-US" w:bidi="ar-SA"/>
        </w:rPr>
        <w:drawing>
          <wp:inline distT="0" distB="0" distL="0" distR="0" wp14:anchorId="593B2A36" wp14:editId="4DCF3840">
            <wp:extent cx="5943600" cy="2752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353B" w:rsidRDefault="00C8353B" w:rsidP="00A105FE">
      <w:pPr>
        <w:pStyle w:val="BodyText"/>
        <w:widowControl/>
        <w:suppressAutoHyphens w:val="0"/>
        <w:spacing w:after="0"/>
        <w:contextualSpacing/>
        <w:rPr>
          <w:rFonts w:cs="Times New Roman"/>
        </w:rPr>
      </w:pPr>
    </w:p>
    <w:p w:rsidR="00370CED" w:rsidRDefault="00370CED" w:rsidP="00A105FE">
      <w:pPr>
        <w:pStyle w:val="BodyText"/>
        <w:widowControl/>
        <w:suppressAutoHyphens w:val="0"/>
        <w:spacing w:after="0"/>
        <w:contextualSpacing/>
        <w:rPr>
          <w:rFonts w:cs="Times New Roman"/>
          <w:b/>
        </w:rPr>
      </w:pPr>
    </w:p>
    <w:p w:rsidR="00C8353B" w:rsidRPr="008848FD" w:rsidRDefault="00EB7395" w:rsidP="00A105FE">
      <w:pPr>
        <w:pStyle w:val="BodyText"/>
        <w:widowControl/>
        <w:suppressAutoHyphens w:val="0"/>
        <w:spacing w:after="0"/>
        <w:contextualSpacing/>
        <w:rPr>
          <w:rFonts w:cs="Times New Roman"/>
          <w:b/>
        </w:rPr>
      </w:pPr>
      <w:r>
        <w:rPr>
          <w:rFonts w:cs="Times New Roman"/>
          <w:b/>
        </w:rPr>
        <w:lastRenderedPageBreak/>
        <w:t>Figure 4.</w:t>
      </w:r>
      <w:r w:rsidR="00C8353B" w:rsidRPr="008848FD">
        <w:rPr>
          <w:rFonts w:cs="Times New Roman"/>
          <w:b/>
        </w:rPr>
        <w:t xml:space="preserve"> Net Dividend Payments, U.S. Nonfinancial Corporations</w:t>
      </w:r>
    </w:p>
    <w:p w:rsidR="00C8353B" w:rsidRPr="008848FD" w:rsidRDefault="00C8353B" w:rsidP="00A105FE">
      <w:pPr>
        <w:pStyle w:val="BodyText"/>
        <w:widowControl/>
        <w:suppressAutoHyphens w:val="0"/>
        <w:spacing w:after="0"/>
        <w:contextualSpacing/>
        <w:rPr>
          <w:rFonts w:cs="Times New Roman"/>
        </w:rPr>
      </w:pPr>
      <w:r w:rsidRPr="008848FD">
        <w:rPr>
          <w:rFonts w:cs="Times New Roman"/>
        </w:rPr>
        <w:t>(percentage of net operating surplus)</w:t>
      </w:r>
    </w:p>
    <w:p w:rsidR="00204F41" w:rsidRPr="005957E2" w:rsidRDefault="00204F41" w:rsidP="00A105FE">
      <w:pPr>
        <w:pStyle w:val="BodyText"/>
        <w:widowControl/>
        <w:suppressAutoHyphens w:val="0"/>
        <w:spacing w:after="0" w:line="480" w:lineRule="auto"/>
        <w:contextualSpacing/>
        <w:rPr>
          <w:rFonts w:cs="Times New Roman"/>
        </w:rPr>
      </w:pPr>
      <w:r w:rsidRPr="00A737A7">
        <w:rPr>
          <w:rFonts w:cs="Times New Roman"/>
          <w:noProof/>
          <w:lang w:eastAsia="en-US" w:bidi="ar-SA"/>
        </w:rPr>
        <w:drawing>
          <wp:inline distT="0" distB="0" distL="0" distR="0" wp14:anchorId="21ADD8E7" wp14:editId="2566CDBE">
            <wp:extent cx="5943600" cy="32289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4C3B" w:rsidRDefault="006B4C3B" w:rsidP="00A105FE">
      <w:pPr>
        <w:pStyle w:val="BodyText"/>
        <w:widowControl/>
        <w:suppressAutoHyphens w:val="0"/>
        <w:spacing w:after="0" w:line="720" w:lineRule="auto"/>
        <w:contextualSpacing/>
        <w:rPr>
          <w:rFonts w:cs="Times New Roman"/>
          <w:b/>
        </w:rPr>
      </w:pPr>
    </w:p>
    <w:p w:rsidR="00C8353B" w:rsidRPr="008848FD" w:rsidRDefault="00EB7395" w:rsidP="00A105FE">
      <w:pPr>
        <w:pStyle w:val="BodyText"/>
        <w:widowControl/>
        <w:suppressAutoHyphens w:val="0"/>
        <w:spacing w:after="0"/>
        <w:contextualSpacing/>
        <w:rPr>
          <w:rFonts w:cs="Times New Roman"/>
          <w:b/>
        </w:rPr>
      </w:pPr>
      <w:r>
        <w:rPr>
          <w:rFonts w:cs="Times New Roman"/>
          <w:b/>
        </w:rPr>
        <w:t>Figure 5.</w:t>
      </w:r>
      <w:r w:rsidR="00C8353B" w:rsidRPr="008848FD">
        <w:rPr>
          <w:rFonts w:cs="Times New Roman"/>
          <w:b/>
        </w:rPr>
        <w:t xml:space="preserve"> Net Stock Repurchases, U.S. Nonfinancial Corporations</w:t>
      </w:r>
    </w:p>
    <w:p w:rsidR="00C8353B" w:rsidRPr="008848FD" w:rsidRDefault="00C8353B" w:rsidP="00A105FE">
      <w:pPr>
        <w:pStyle w:val="BodyText"/>
        <w:widowControl/>
        <w:suppressAutoHyphens w:val="0"/>
        <w:spacing w:after="0"/>
        <w:contextualSpacing/>
        <w:rPr>
          <w:rFonts w:cs="Times New Roman"/>
        </w:rPr>
      </w:pPr>
      <w:r w:rsidRPr="008848FD">
        <w:rPr>
          <w:rFonts w:cs="Times New Roman"/>
        </w:rPr>
        <w:t>(negative of ne</w:t>
      </w:r>
      <w:r w:rsidR="00E94891">
        <w:rPr>
          <w:rFonts w:cs="Times New Roman"/>
        </w:rPr>
        <w:t xml:space="preserve">t new </w:t>
      </w:r>
      <w:r w:rsidRPr="00A737A7">
        <w:rPr>
          <w:rFonts w:cs="Times New Roman"/>
        </w:rPr>
        <w:t xml:space="preserve">equity </w:t>
      </w:r>
      <w:r w:rsidR="00E94891">
        <w:rPr>
          <w:rFonts w:cs="Times New Roman"/>
        </w:rPr>
        <w:t xml:space="preserve">issues </w:t>
      </w:r>
      <w:r w:rsidRPr="00A737A7">
        <w:rPr>
          <w:rFonts w:cs="Times New Roman"/>
        </w:rPr>
        <w:t xml:space="preserve">as </w:t>
      </w:r>
      <w:r w:rsidRPr="008848FD">
        <w:rPr>
          <w:rFonts w:cs="Times New Roman"/>
        </w:rPr>
        <w:t>percentage of net operating surplus)</w:t>
      </w:r>
    </w:p>
    <w:p w:rsidR="00204F41" w:rsidRPr="005957E2" w:rsidRDefault="00204F41" w:rsidP="00A105FE">
      <w:pPr>
        <w:pStyle w:val="BodyText"/>
        <w:widowControl/>
        <w:suppressAutoHyphens w:val="0"/>
        <w:spacing w:after="0" w:line="480" w:lineRule="auto"/>
        <w:contextualSpacing/>
        <w:rPr>
          <w:rFonts w:cs="Times New Roman"/>
        </w:rPr>
      </w:pPr>
      <w:r w:rsidRPr="00A737A7">
        <w:rPr>
          <w:rFonts w:cs="Times New Roman"/>
          <w:noProof/>
          <w:lang w:eastAsia="en-US" w:bidi="ar-SA"/>
        </w:rPr>
        <w:drawing>
          <wp:inline distT="0" distB="0" distL="0" distR="0" wp14:anchorId="73EFB1DC" wp14:editId="4D873BD5">
            <wp:extent cx="5886450" cy="3314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7395" w:rsidRDefault="00011F33" w:rsidP="00904087">
      <w:pPr>
        <w:pStyle w:val="BodyText"/>
        <w:widowControl/>
        <w:suppressAutoHyphens w:val="0"/>
        <w:spacing w:after="0" w:line="480" w:lineRule="auto"/>
        <w:ind w:firstLine="706"/>
        <w:contextualSpacing/>
      </w:pPr>
      <w:r>
        <w:rPr>
          <w:rFonts w:cs="Times New Roman"/>
        </w:rPr>
        <w:lastRenderedPageBreak/>
        <w:t xml:space="preserve">The </w:t>
      </w:r>
      <w:r w:rsidR="00D1154F">
        <w:rPr>
          <w:rFonts w:cs="Times New Roman"/>
        </w:rPr>
        <w:t>rapid</w:t>
      </w:r>
      <w:r>
        <w:rPr>
          <w:rFonts w:cs="Times New Roman"/>
        </w:rPr>
        <w:t xml:space="preserve"> growth </w:t>
      </w:r>
      <w:r w:rsidR="00D1154F">
        <w:rPr>
          <w:rFonts w:cs="Times New Roman"/>
        </w:rPr>
        <w:t>of</w:t>
      </w:r>
      <w:r>
        <w:rPr>
          <w:rFonts w:cs="Times New Roman"/>
        </w:rPr>
        <w:t xml:space="preserve"> </w:t>
      </w:r>
      <w:r w:rsidR="00C066B7">
        <w:rPr>
          <w:rFonts w:cs="Times New Roman"/>
        </w:rPr>
        <w:t xml:space="preserve">dividend payments and stock repurchases </w:t>
      </w:r>
      <w:r w:rsidR="00D1154F">
        <w:rPr>
          <w:rFonts w:cs="Times New Roman"/>
        </w:rPr>
        <w:t>in recent</w:t>
      </w:r>
      <w:r w:rsidR="00C066B7">
        <w:rPr>
          <w:rFonts w:cs="Times New Roman"/>
        </w:rPr>
        <w:t xml:space="preserve"> decades has drawn considerable attention</w:t>
      </w:r>
      <w:r w:rsidR="00B52A0E">
        <w:rPr>
          <w:rFonts w:cs="Times New Roman"/>
        </w:rPr>
        <w:t xml:space="preserve"> among sociologists and economists writing within</w:t>
      </w:r>
      <w:r w:rsidR="00C066B7">
        <w:rPr>
          <w:rFonts w:cs="Times New Roman"/>
        </w:rPr>
        <w:t xml:space="preserve"> the shareholder value tradition</w:t>
      </w:r>
      <w:r w:rsidR="00EC30DE">
        <w:rPr>
          <w:rFonts w:cs="Times New Roman"/>
        </w:rPr>
        <w:t xml:space="preserve"> (</w:t>
      </w:r>
      <w:r w:rsidR="0011578D">
        <w:rPr>
          <w:rFonts w:cs="Times New Roman"/>
        </w:rPr>
        <w:t>Davis 2009</w:t>
      </w:r>
      <w:r w:rsidR="00D50F4E">
        <w:rPr>
          <w:rFonts w:cs="Times New Roman"/>
        </w:rPr>
        <w:t>;</w:t>
      </w:r>
      <w:r w:rsidR="0011578D">
        <w:rPr>
          <w:rFonts w:cs="Times New Roman"/>
        </w:rPr>
        <w:t xml:space="preserve"> Dob</w:t>
      </w:r>
      <w:r w:rsidR="0071600A">
        <w:rPr>
          <w:rFonts w:cs="Times New Roman"/>
        </w:rPr>
        <w:t>b</w:t>
      </w:r>
      <w:r w:rsidR="0011578D">
        <w:rPr>
          <w:rFonts w:cs="Times New Roman"/>
        </w:rPr>
        <w:t>in and Zorn 2005</w:t>
      </w:r>
      <w:r w:rsidR="00D50F4E">
        <w:rPr>
          <w:rFonts w:cs="Times New Roman"/>
        </w:rPr>
        <w:t>;</w:t>
      </w:r>
      <w:r w:rsidR="0011578D">
        <w:rPr>
          <w:rFonts w:cs="Times New Roman"/>
        </w:rPr>
        <w:t xml:space="preserve"> Fligstein 2005</w:t>
      </w:r>
      <w:r w:rsidR="00D50F4E">
        <w:rPr>
          <w:rFonts w:cs="Times New Roman"/>
        </w:rPr>
        <w:t>;</w:t>
      </w:r>
      <w:r w:rsidR="0011578D">
        <w:rPr>
          <w:rFonts w:cs="Times New Roman"/>
        </w:rPr>
        <w:t xml:space="preserve"> Lazonick and O</w:t>
      </w:r>
      <w:r w:rsidR="0071600A">
        <w:rPr>
          <w:rFonts w:cs="Times New Roman"/>
        </w:rPr>
        <w:t>’</w:t>
      </w:r>
      <w:r w:rsidR="0011578D">
        <w:rPr>
          <w:rFonts w:cs="Times New Roman"/>
        </w:rPr>
        <w:t xml:space="preserve">Sullivan 2000). </w:t>
      </w:r>
      <w:r w:rsidR="0071600A">
        <w:t>“</w:t>
      </w:r>
      <w:r w:rsidR="00F41C5F" w:rsidRPr="002C651F">
        <w:t>Shareholder value</w:t>
      </w:r>
      <w:r w:rsidR="0071600A">
        <w:t>”</w:t>
      </w:r>
      <w:r w:rsidR="00F41C5F" w:rsidRPr="002C651F">
        <w:t xml:space="preserve"> is a term most often used by those who argue that a new corporate governance model</w:t>
      </w:r>
      <w:r w:rsidR="000E043D">
        <w:t xml:space="preserve"> </w:t>
      </w:r>
      <w:r w:rsidR="00F41C5F" w:rsidRPr="002C651F">
        <w:t>emerged under neoliberalism</w:t>
      </w:r>
      <w:r w:rsidR="00B52A0E">
        <w:t>,</w:t>
      </w:r>
      <w:r w:rsidR="00F41C5F" w:rsidRPr="002C651F">
        <w:t xml:space="preserve"> </w:t>
      </w:r>
      <w:r w:rsidR="0071600A">
        <w:t>“</w:t>
      </w:r>
      <w:r w:rsidR="000E043D">
        <w:t>wherein</w:t>
      </w:r>
      <w:r w:rsidR="00B52A0E">
        <w:t xml:space="preserve"> the strategic orientation of </w:t>
      </w:r>
      <w:r w:rsidR="00A105FE">
        <w:t>corporate</w:t>
      </w:r>
      <w:r w:rsidR="00B52A0E">
        <w:t xml:space="preserve"> managers</w:t>
      </w:r>
      <w:r w:rsidR="0071600A">
        <w:t>”</w:t>
      </w:r>
      <w:r w:rsidR="00B52A0E">
        <w:t xml:space="preserve"> shifted from a philosophy of </w:t>
      </w:r>
      <w:r w:rsidR="0071600A">
        <w:t>“</w:t>
      </w:r>
      <w:r w:rsidR="00F41C5F" w:rsidRPr="002C651F">
        <w:t>retain and reinvest</w:t>
      </w:r>
      <w:r w:rsidR="0071600A">
        <w:t>”</w:t>
      </w:r>
      <w:r w:rsidR="00F41C5F" w:rsidRPr="002C651F">
        <w:t xml:space="preserve"> </w:t>
      </w:r>
      <w:r w:rsidR="00B52A0E">
        <w:t xml:space="preserve">toward a philosophy of </w:t>
      </w:r>
      <w:r w:rsidR="0071600A">
        <w:t>“</w:t>
      </w:r>
      <w:r w:rsidR="00B52A0E">
        <w:t>downsize and distribute</w:t>
      </w:r>
      <w:r w:rsidR="0071600A">
        <w:t>”</w:t>
      </w:r>
      <w:r w:rsidR="00F41C5F" w:rsidRPr="002C651F">
        <w:t xml:space="preserve"> (Lazonick and O</w:t>
      </w:r>
      <w:r w:rsidR="0071600A">
        <w:t>’</w:t>
      </w:r>
      <w:r w:rsidR="00F41C5F" w:rsidRPr="002C651F">
        <w:t>Sullivan</w:t>
      </w:r>
      <w:r w:rsidR="00F41C5F">
        <w:t xml:space="preserve"> </w:t>
      </w:r>
      <w:r w:rsidR="00F41C5F" w:rsidRPr="002C651F">
        <w:t>2000</w:t>
      </w:r>
      <w:r w:rsidR="00EB7395">
        <w:t xml:space="preserve">, p. </w:t>
      </w:r>
      <w:r w:rsidR="00B52A0E">
        <w:t>18</w:t>
      </w:r>
      <w:r w:rsidR="00F41C5F" w:rsidRPr="002C651F">
        <w:t xml:space="preserve">). </w:t>
      </w:r>
      <w:r w:rsidR="00FA2B2E">
        <w:t xml:space="preserve">Under </w:t>
      </w:r>
      <w:r w:rsidR="00A105FE">
        <w:t xml:space="preserve">the </w:t>
      </w:r>
      <w:r w:rsidR="0071600A">
        <w:t>“</w:t>
      </w:r>
      <w:r w:rsidR="00F41C5F" w:rsidRPr="002C651F">
        <w:t>shareholder value</w:t>
      </w:r>
      <w:r w:rsidR="0071600A">
        <w:t>”</w:t>
      </w:r>
      <w:r w:rsidR="00F41C5F" w:rsidRPr="002C651F">
        <w:t xml:space="preserve"> corporate ethos, </w:t>
      </w:r>
      <w:r w:rsidR="00EB7395">
        <w:t xml:space="preserve">they argue, </w:t>
      </w:r>
      <w:r w:rsidR="00F41C5F" w:rsidRPr="002C651F">
        <w:t xml:space="preserve">the primary </w:t>
      </w:r>
      <w:r w:rsidR="0011578D" w:rsidRPr="002C651F">
        <w:t>objective is</w:t>
      </w:r>
      <w:r w:rsidR="00F41C5F" w:rsidRPr="002C651F">
        <w:t xml:space="preserve"> not to accumulate capital per se, but rather to return value</w:t>
      </w:r>
      <w:r w:rsidR="00EB7395">
        <w:t xml:space="preserve"> </w:t>
      </w:r>
      <w:r w:rsidR="00F41C5F" w:rsidRPr="002C651F">
        <w:t>to shareholders</w:t>
      </w:r>
      <w:r w:rsidR="00EC30DE">
        <w:t xml:space="preserve">, </w:t>
      </w:r>
      <w:r w:rsidR="00FA2B2E">
        <w:t>especially</w:t>
      </w:r>
      <w:r w:rsidR="00EC30DE">
        <w:t xml:space="preserve"> in terms of an appreciating stock price</w:t>
      </w:r>
      <w:r w:rsidR="00F41C5F" w:rsidRPr="002C651F">
        <w:t xml:space="preserve"> (Krippner 2011). </w:t>
      </w:r>
    </w:p>
    <w:p w:rsidR="00F41C5F" w:rsidRPr="002C651F" w:rsidRDefault="00EB7395" w:rsidP="00A105FE">
      <w:pPr>
        <w:pStyle w:val="BodyText"/>
        <w:widowControl/>
        <w:suppressAutoHyphens w:val="0"/>
        <w:spacing w:after="0" w:line="480" w:lineRule="auto"/>
        <w:ind w:firstLine="706"/>
        <w:contextualSpacing/>
      </w:pPr>
      <w:r>
        <w:t>A</w:t>
      </w:r>
      <w:r w:rsidR="00D1154F">
        <w:t>ccording to these authors, a</w:t>
      </w:r>
      <w:r w:rsidR="00F41C5F" w:rsidRPr="002C651F">
        <w:t xml:space="preserve"> combination of events––a wave of hostile takeovers, a neoliberalized regulatory environment, new financial innovations such as the junk bond, the increasing prevalence of stock options as a form of executive compensation, and the rise of institutional investors as powerful shareholder activists––led to major changes in corporate governance strategies motivated by the goal of raising stock prices. </w:t>
      </w:r>
      <w:r w:rsidR="003B2B35">
        <w:t xml:space="preserve">They argue that </w:t>
      </w:r>
      <w:r w:rsidR="00F41C5F" w:rsidRPr="002C651F">
        <w:t>corporate executives began to focus increasing attention on maintaining a high stock price</w:t>
      </w:r>
      <w:r w:rsidR="003B2B35">
        <w:t xml:space="preserve"> for several reasons. One </w:t>
      </w:r>
      <w:r w:rsidR="00F41C5F" w:rsidRPr="002C651F">
        <w:t xml:space="preserve">was </w:t>
      </w:r>
      <w:r w:rsidR="003B2B35">
        <w:t>that they sought to</w:t>
      </w:r>
      <w:r w:rsidR="00F41C5F" w:rsidRPr="002C651F">
        <w:t xml:space="preserve"> defend their firms against the threat of takeover. Another was that institutional investors pressured them to do so. Moreover, institutional investors insisted on the introduction of stock options for newly appointed corporate executives. This was an effort to bring management objectives in line with the interests of shareholders, since executives who have options to buy their company</w:t>
      </w:r>
      <w:r w:rsidR="0071600A">
        <w:t>’</w:t>
      </w:r>
      <w:r w:rsidR="00F41C5F" w:rsidRPr="002C651F">
        <w:t>s stock at a given price have a personal incentive to raise the price and thereby reap a capital gain. The institutional investors</w:t>
      </w:r>
      <w:r w:rsidR="0071600A">
        <w:t>’</w:t>
      </w:r>
      <w:r w:rsidR="00F41C5F" w:rsidRPr="002C651F">
        <w:t xml:space="preserve"> ability to enforce their wishes was enhanced when Congress permitted insurance companies and pension funds to invest in </w:t>
      </w:r>
      <w:r w:rsidR="00F41C5F" w:rsidRPr="002C651F">
        <w:lastRenderedPageBreak/>
        <w:t>equities, which led to a dramatic rise in the share of publicly-traded stock held by institutional investors (Lazonick and O</w:t>
      </w:r>
      <w:r w:rsidR="0071600A">
        <w:t>’</w:t>
      </w:r>
      <w:r w:rsidR="00F41C5F" w:rsidRPr="002C651F">
        <w:t>Sullivan 2000).</w:t>
      </w:r>
      <w:r>
        <w:rPr>
          <w:rStyle w:val="FootnoteReference"/>
        </w:rPr>
        <w:footnoteReference w:id="11"/>
      </w:r>
      <w:r w:rsidR="00F41C5F" w:rsidRPr="002C651F">
        <w:t xml:space="preserve"> </w:t>
      </w:r>
    </w:p>
    <w:p w:rsidR="00F41C5F" w:rsidRDefault="00F41C5F" w:rsidP="00A105FE">
      <w:pPr>
        <w:pStyle w:val="BodyText"/>
        <w:widowControl/>
        <w:suppressAutoHyphens w:val="0"/>
        <w:spacing w:after="0" w:line="480" w:lineRule="auto"/>
        <w:contextualSpacing/>
        <w:rPr>
          <w:rFonts w:cs="Times New Roman"/>
        </w:rPr>
      </w:pPr>
    </w:p>
    <w:p w:rsidR="00A81281" w:rsidRDefault="00A81281" w:rsidP="00A105FE">
      <w:pPr>
        <w:pStyle w:val="BodyText"/>
        <w:widowControl/>
        <w:suppressAutoHyphens w:val="0"/>
        <w:spacing w:after="0" w:line="480" w:lineRule="auto"/>
        <w:contextualSpacing/>
        <w:rPr>
          <w:rFonts w:cs="Times New Roman"/>
        </w:rPr>
      </w:pPr>
    </w:p>
    <w:p w:rsidR="00A81281" w:rsidRPr="00EB68A3" w:rsidRDefault="00F41C5F" w:rsidP="00A105FE">
      <w:pPr>
        <w:pStyle w:val="BodyText"/>
        <w:widowControl/>
        <w:suppressAutoHyphens w:val="0"/>
        <w:spacing w:after="0" w:line="480" w:lineRule="auto"/>
        <w:contextualSpacing/>
        <w:jc w:val="center"/>
        <w:rPr>
          <w:rFonts w:cs="Times New Roman"/>
          <w:b/>
        </w:rPr>
      </w:pPr>
      <w:r>
        <w:rPr>
          <w:rFonts w:cs="Times New Roman"/>
          <w:b/>
        </w:rPr>
        <w:t xml:space="preserve">3. </w:t>
      </w:r>
      <w:r w:rsidR="00A81281" w:rsidRPr="00EB68A3">
        <w:rPr>
          <w:rFonts w:cs="Times New Roman"/>
          <w:b/>
        </w:rPr>
        <w:t>The Importance of Borrowing to Financialization</w:t>
      </w:r>
    </w:p>
    <w:p w:rsidR="00EC4F87" w:rsidRPr="0001757A" w:rsidRDefault="00AC0E9D" w:rsidP="00A105FE">
      <w:pPr>
        <w:pStyle w:val="BodyText"/>
        <w:widowControl/>
        <w:suppressAutoHyphens w:val="0"/>
        <w:spacing w:after="0" w:line="480" w:lineRule="auto"/>
        <w:contextualSpacing/>
        <w:rPr>
          <w:rFonts w:cs="Times New Roman"/>
        </w:rPr>
      </w:pPr>
      <w:r w:rsidRPr="005957E2">
        <w:rPr>
          <w:rFonts w:cs="Times New Roman"/>
        </w:rPr>
        <w:t>T</w:t>
      </w:r>
      <w:r w:rsidR="00204F41" w:rsidRPr="005957E2">
        <w:rPr>
          <w:rFonts w:cs="Times New Roman"/>
        </w:rPr>
        <w:t>he increase</w:t>
      </w:r>
      <w:r w:rsidRPr="005957E2">
        <w:rPr>
          <w:rFonts w:cs="Times New Roman"/>
        </w:rPr>
        <w:t>s</w:t>
      </w:r>
      <w:r w:rsidR="00204F41" w:rsidRPr="005957E2">
        <w:rPr>
          <w:rFonts w:cs="Times New Roman"/>
        </w:rPr>
        <w:t xml:space="preserve"> in </w:t>
      </w:r>
      <w:r w:rsidRPr="005957E2">
        <w:rPr>
          <w:rFonts w:cs="Times New Roman"/>
        </w:rPr>
        <w:t>corporations</w:t>
      </w:r>
      <w:r w:rsidR="0071600A">
        <w:rPr>
          <w:rFonts w:cs="Times New Roman"/>
        </w:rPr>
        <w:t>’</w:t>
      </w:r>
      <w:r w:rsidRPr="005957E2">
        <w:rPr>
          <w:rFonts w:cs="Times New Roman"/>
        </w:rPr>
        <w:t xml:space="preserve"> </w:t>
      </w:r>
      <w:r w:rsidR="00204F41" w:rsidRPr="005957E2">
        <w:rPr>
          <w:rFonts w:cs="Times New Roman"/>
        </w:rPr>
        <w:t>financial acquisitions and pay</w:t>
      </w:r>
      <w:r w:rsidRPr="005957E2">
        <w:rPr>
          <w:rFonts w:cs="Times New Roman"/>
        </w:rPr>
        <w:t>outs</w:t>
      </w:r>
      <w:r w:rsidR="00204F41" w:rsidRPr="005957E2">
        <w:rPr>
          <w:rFonts w:cs="Times New Roman"/>
        </w:rPr>
        <w:t xml:space="preserve"> are </w:t>
      </w:r>
      <w:r w:rsidRPr="005957E2">
        <w:rPr>
          <w:rFonts w:cs="Times New Roman"/>
        </w:rPr>
        <w:t xml:space="preserve">undoubtedly </w:t>
      </w:r>
      <w:r w:rsidR="00204F41" w:rsidRPr="005957E2">
        <w:rPr>
          <w:rFonts w:cs="Times New Roman"/>
        </w:rPr>
        <w:t xml:space="preserve">important trends. </w:t>
      </w:r>
      <w:r w:rsidRPr="005957E2">
        <w:rPr>
          <w:rFonts w:cs="Times New Roman"/>
        </w:rPr>
        <w:t>However</w:t>
      </w:r>
      <w:r w:rsidR="00204F41" w:rsidRPr="005957E2">
        <w:rPr>
          <w:rFonts w:cs="Times New Roman"/>
        </w:rPr>
        <w:t xml:space="preserve">, we believe that further analysis is needed to clarify the implications </w:t>
      </w:r>
      <w:r w:rsidR="00C65BFD" w:rsidRPr="005957E2">
        <w:rPr>
          <w:rFonts w:cs="Times New Roman"/>
        </w:rPr>
        <w:t>of these trends, in part because a good deal of the financialization literature has drawn unwarranted conclusions about them. In particular, our findings indicate that corporations</w:t>
      </w:r>
      <w:r w:rsidR="0071600A">
        <w:rPr>
          <w:rFonts w:cs="Times New Roman"/>
        </w:rPr>
        <w:t>’</w:t>
      </w:r>
      <w:r w:rsidR="00C65BFD" w:rsidRPr="005957E2">
        <w:rPr>
          <w:rFonts w:cs="Times New Roman"/>
        </w:rPr>
        <w:t xml:space="preserve"> increasing involvement in financial markets does not</w:t>
      </w:r>
      <w:r w:rsidR="00204F41" w:rsidRPr="005957E2">
        <w:rPr>
          <w:rFonts w:cs="Times New Roman"/>
        </w:rPr>
        <w:t xml:space="preserve"> constitute a diversion of profit from production to finance</w:t>
      </w:r>
      <w:r w:rsidR="00C65BFD" w:rsidRPr="005957E2">
        <w:rPr>
          <w:rFonts w:cs="Times New Roman"/>
        </w:rPr>
        <w:t>, because the increases in financial acquisitions and payouts have essentially been</w:t>
      </w:r>
      <w:r w:rsidR="00204F41" w:rsidRPr="005957E2">
        <w:rPr>
          <w:rFonts w:cs="Times New Roman"/>
        </w:rPr>
        <w:t xml:space="preserve"> funded </w:t>
      </w:r>
      <w:r w:rsidR="00C65BFD" w:rsidRPr="005957E2">
        <w:rPr>
          <w:rFonts w:cs="Times New Roman"/>
        </w:rPr>
        <w:t>by means</w:t>
      </w:r>
      <w:r w:rsidR="00204F41" w:rsidRPr="005957E2">
        <w:rPr>
          <w:rFonts w:cs="Times New Roman"/>
        </w:rPr>
        <w:t xml:space="preserve"> of borrowed funds</w:t>
      </w:r>
      <w:r w:rsidR="00C65BFD" w:rsidRPr="005957E2">
        <w:rPr>
          <w:rFonts w:cs="Times New Roman"/>
        </w:rPr>
        <w:t xml:space="preserve">. As is well known, </w:t>
      </w:r>
      <w:r w:rsidR="00204F41" w:rsidRPr="005957E2">
        <w:rPr>
          <w:rFonts w:cs="Times New Roman"/>
        </w:rPr>
        <w:t xml:space="preserve">leverage </w:t>
      </w:r>
      <w:r w:rsidR="00C65BFD" w:rsidRPr="005957E2">
        <w:rPr>
          <w:rFonts w:cs="Times New Roman"/>
        </w:rPr>
        <w:t>is another significant aspect of financialization</w:t>
      </w:r>
      <w:r w:rsidR="00C303D1">
        <w:rPr>
          <w:rFonts w:cs="Times New Roman"/>
        </w:rPr>
        <w:t xml:space="preserve"> (Gowan 2009)</w:t>
      </w:r>
      <w:r w:rsidR="00C65BFD" w:rsidRPr="005957E2">
        <w:rPr>
          <w:rFonts w:cs="Times New Roman"/>
        </w:rPr>
        <w:t xml:space="preserve">; it </w:t>
      </w:r>
      <w:r w:rsidR="00204F41" w:rsidRPr="005957E2">
        <w:rPr>
          <w:rFonts w:cs="Times New Roman"/>
        </w:rPr>
        <w:t xml:space="preserve">has become an increasingly </w:t>
      </w:r>
      <w:r w:rsidR="00C65BFD" w:rsidRPr="005957E2">
        <w:rPr>
          <w:rFonts w:cs="Times New Roman"/>
        </w:rPr>
        <w:t xml:space="preserve">large </w:t>
      </w:r>
      <w:r w:rsidR="00204F41" w:rsidRPr="005957E2">
        <w:rPr>
          <w:rFonts w:cs="Times New Roman"/>
        </w:rPr>
        <w:t xml:space="preserve">source of </w:t>
      </w:r>
      <w:r w:rsidR="00C65BFD" w:rsidRPr="005957E2">
        <w:rPr>
          <w:rFonts w:cs="Times New Roman"/>
        </w:rPr>
        <w:t xml:space="preserve">the </w:t>
      </w:r>
      <w:r w:rsidR="00204F41" w:rsidRPr="005957E2">
        <w:rPr>
          <w:rFonts w:cs="Times New Roman"/>
        </w:rPr>
        <w:t>funds</w:t>
      </w:r>
      <w:r w:rsidR="00C65BFD" w:rsidRPr="005957E2">
        <w:rPr>
          <w:rFonts w:cs="Times New Roman"/>
        </w:rPr>
        <w:t xml:space="preserve"> that</w:t>
      </w:r>
      <w:r w:rsidR="00204F41" w:rsidRPr="005957E2">
        <w:rPr>
          <w:rFonts w:cs="Times New Roman"/>
        </w:rPr>
        <w:t xml:space="preserve"> driv</w:t>
      </w:r>
      <w:r w:rsidR="00C65BFD" w:rsidRPr="005957E2">
        <w:rPr>
          <w:rFonts w:cs="Times New Roman"/>
        </w:rPr>
        <w:t>e</w:t>
      </w:r>
      <w:r w:rsidR="00204F41" w:rsidRPr="005957E2">
        <w:rPr>
          <w:rFonts w:cs="Times New Roman"/>
        </w:rPr>
        <w:t xml:space="preserve"> the financialization process</w:t>
      </w:r>
      <w:r w:rsidR="00C303D1">
        <w:rPr>
          <w:rFonts w:cs="Times New Roman"/>
        </w:rPr>
        <w:t>.</w:t>
      </w:r>
      <w:r w:rsidR="00204F41" w:rsidRPr="005957E2">
        <w:rPr>
          <w:rFonts w:cs="Times New Roman"/>
        </w:rPr>
        <w:t xml:space="preserve"> </w:t>
      </w:r>
    </w:p>
    <w:p w:rsidR="00A81281" w:rsidRPr="008848FD" w:rsidRDefault="002F161B" w:rsidP="00A105FE">
      <w:pPr>
        <w:pStyle w:val="BodyText"/>
        <w:widowControl/>
        <w:suppressAutoHyphens w:val="0"/>
        <w:spacing w:after="0" w:line="480" w:lineRule="auto"/>
        <w:contextualSpacing/>
        <w:rPr>
          <w:rFonts w:cs="Times New Roman"/>
        </w:rPr>
      </w:pPr>
      <w:r>
        <w:rPr>
          <w:rFonts w:cs="Times New Roman"/>
        </w:rPr>
        <w:tab/>
      </w:r>
      <w:r w:rsidR="00A81281" w:rsidRPr="000E234D">
        <w:rPr>
          <w:rFonts w:cs="Times New Roman"/>
        </w:rPr>
        <w:t>It is noteworthy that</w:t>
      </w:r>
      <w:r w:rsidR="00A81281" w:rsidRPr="00A737A7">
        <w:rPr>
          <w:rFonts w:cs="Times New Roman"/>
        </w:rPr>
        <w:t xml:space="preserve"> financialization is associate</w:t>
      </w:r>
      <w:r w:rsidR="00A81281" w:rsidRPr="008848FD">
        <w:rPr>
          <w:rFonts w:cs="Times New Roman"/>
        </w:rPr>
        <w:t>d with a substantial decline in the</w:t>
      </w:r>
      <w:r w:rsidR="00A81281" w:rsidRPr="000E234D">
        <w:rPr>
          <w:rFonts w:cs="Times New Roman"/>
        </w:rPr>
        <w:t xml:space="preserve"> </w:t>
      </w:r>
      <w:r w:rsidR="00A81281" w:rsidRPr="008848FD">
        <w:rPr>
          <w:rFonts w:cs="Times New Roman"/>
        </w:rPr>
        <w:t xml:space="preserve">importance of profit as a source of the funds used for financial expenditures (financial acquisitions, dividend </w:t>
      </w:r>
      <w:r w:rsidR="00A81281" w:rsidRPr="008848FD">
        <w:rPr>
          <w:rFonts w:cs="Times New Roman"/>
          <w:bCs/>
        </w:rPr>
        <w:t xml:space="preserve">and interest </w:t>
      </w:r>
      <w:r w:rsidR="00A81281" w:rsidRPr="008848FD">
        <w:rPr>
          <w:rFonts w:cs="Times New Roman"/>
        </w:rPr>
        <w:t xml:space="preserve">payments, and stock buybacks). As Figure </w:t>
      </w:r>
      <w:r>
        <w:rPr>
          <w:rFonts w:cs="Times New Roman"/>
        </w:rPr>
        <w:t>6</w:t>
      </w:r>
      <w:r w:rsidRPr="008848FD">
        <w:rPr>
          <w:rFonts w:cs="Times New Roman"/>
        </w:rPr>
        <w:t xml:space="preserve"> </w:t>
      </w:r>
      <w:r w:rsidR="00A81281" w:rsidRPr="008848FD">
        <w:rPr>
          <w:rFonts w:cs="Times New Roman"/>
        </w:rPr>
        <w:t>shows, the share of nonfinancial corporations</w:t>
      </w:r>
      <w:r w:rsidR="0071600A">
        <w:rPr>
          <w:rFonts w:cs="Times New Roman"/>
        </w:rPr>
        <w:t>’</w:t>
      </w:r>
      <w:r w:rsidR="00A81281" w:rsidRPr="008848FD">
        <w:rPr>
          <w:rFonts w:cs="Times New Roman"/>
        </w:rPr>
        <w:t xml:space="preserve"> financial expenditures that was funded out of profit was substantially larger between 1947 and 1967, before the rise of financialization, than during the </w:t>
      </w:r>
      <w:r w:rsidR="00A81281" w:rsidRPr="008848FD">
        <w:rPr>
          <w:rFonts w:cs="Times New Roman"/>
        </w:rPr>
        <w:lastRenderedPageBreak/>
        <w:t xml:space="preserve">four decades that followed. When we measure </w:t>
      </w:r>
      <w:r w:rsidR="00A81281" w:rsidRPr="008848FD">
        <w:rPr>
          <w:rFonts w:eastAsia="Times New Roman" w:cs="Times New Roman"/>
          <w:bCs/>
          <w:color w:val="000000"/>
          <w:kern w:val="0"/>
          <w:lang w:eastAsia="en-US" w:bidi="ar-SA"/>
        </w:rPr>
        <w:t>financial expenditures funded out of profit</w:t>
      </w:r>
      <w:r w:rsidR="00A81281" w:rsidRPr="008848FD">
        <w:rPr>
          <w:rFonts w:eastAsia="Times New Roman" w:cs="Times New Roman"/>
          <w:color w:val="000000"/>
          <w:kern w:val="0"/>
          <w:lang w:eastAsia="en-US" w:bidi="ar-SA"/>
        </w:rPr>
        <w:t xml:space="preserve"> as the after-tax profit that remains after net productive investment, and total financial expenditures as the sum of dividend payments and new acquisitions of financial assets, we find that the share of </w:t>
      </w:r>
      <w:r w:rsidR="00A81281" w:rsidRPr="008848FD">
        <w:rPr>
          <w:rFonts w:cs="Times New Roman"/>
        </w:rPr>
        <w:t xml:space="preserve">financial expenditures that was funded out of profit fell by 58%, from an average of 60% between 1947 and 1967 to an average of 25% between 1968 and 2007. When a broader measure of total financial expenditures that also includes interest payments and stock repurchases is considered (and, accordingly, the definition of profit is broadened so as to include the portion </w:t>
      </w:r>
    </w:p>
    <w:p w:rsidR="006B4C3B" w:rsidRDefault="006B4C3B" w:rsidP="00A105FE">
      <w:pPr>
        <w:widowControl/>
        <w:suppressAutoHyphens w:val="0"/>
        <w:spacing w:line="720" w:lineRule="auto"/>
        <w:contextualSpacing/>
        <w:rPr>
          <w:rFonts w:cs="Times New Roman"/>
        </w:rPr>
      </w:pPr>
    </w:p>
    <w:p w:rsidR="00A81281" w:rsidRDefault="00A81281" w:rsidP="00A105FE">
      <w:pPr>
        <w:widowControl/>
        <w:suppressAutoHyphens w:val="0"/>
        <w:contextualSpacing/>
        <w:rPr>
          <w:rFonts w:cs="Times New Roman"/>
          <w:b/>
        </w:rPr>
      </w:pPr>
      <w:r w:rsidRPr="000E234D">
        <w:rPr>
          <w:rFonts w:cs="Times New Roman"/>
          <w:b/>
        </w:rPr>
        <w:t xml:space="preserve">Figure </w:t>
      </w:r>
      <w:r w:rsidR="002F161B">
        <w:rPr>
          <w:rFonts w:cs="Times New Roman"/>
          <w:b/>
        </w:rPr>
        <w:t>6</w:t>
      </w:r>
      <w:r w:rsidRPr="000E234D">
        <w:rPr>
          <w:rFonts w:cs="Times New Roman"/>
          <w:b/>
        </w:rPr>
        <w:t>. Financial Expenditures Funded out of Profit, U.S. Nonfinancial Corporations</w:t>
      </w:r>
    </w:p>
    <w:p w:rsidR="002F161B" w:rsidRPr="00A105FE" w:rsidRDefault="002F161B" w:rsidP="00A105FE">
      <w:pPr>
        <w:widowControl/>
        <w:suppressAutoHyphens w:val="0"/>
        <w:contextualSpacing/>
        <w:rPr>
          <w:rFonts w:cs="Times New Roman"/>
        </w:rPr>
      </w:pPr>
      <w:r w:rsidRPr="00A105FE">
        <w:rPr>
          <w:rFonts w:cs="Times New Roman"/>
        </w:rPr>
        <w:t>(percentage of total financial expenditures)</w:t>
      </w:r>
    </w:p>
    <w:p w:rsidR="00A81281" w:rsidRPr="000E234D" w:rsidRDefault="00A81281" w:rsidP="00A105FE">
      <w:pPr>
        <w:widowControl/>
        <w:suppressAutoHyphens w:val="0"/>
        <w:spacing w:line="480" w:lineRule="auto"/>
        <w:contextualSpacing/>
        <w:rPr>
          <w:rFonts w:cs="Times New Roman"/>
        </w:rPr>
      </w:pPr>
      <w:r w:rsidRPr="005E753B">
        <w:rPr>
          <w:rFonts w:cs="Times New Roman"/>
          <w:noProof/>
          <w:lang w:eastAsia="en-US" w:bidi="ar-SA"/>
        </w:rPr>
        <w:drawing>
          <wp:inline distT="0" distB="0" distL="0" distR="0" wp14:anchorId="5AB49D02" wp14:editId="5DF833FC">
            <wp:extent cx="5943600" cy="4857750"/>
            <wp:effectExtent l="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4C3B" w:rsidRPr="008848FD" w:rsidRDefault="006B4C3B" w:rsidP="006B4C3B">
      <w:pPr>
        <w:pStyle w:val="BodyText"/>
        <w:widowControl/>
        <w:suppressAutoHyphens w:val="0"/>
        <w:spacing w:after="0" w:line="480" w:lineRule="auto"/>
        <w:contextualSpacing/>
        <w:rPr>
          <w:rFonts w:cs="Times New Roman"/>
        </w:rPr>
      </w:pPr>
      <w:r w:rsidRPr="008848FD">
        <w:rPr>
          <w:rFonts w:cs="Times New Roman"/>
        </w:rPr>
        <w:lastRenderedPageBreak/>
        <w:t xml:space="preserve">used to pay interest as well as after-tax profit), </w:t>
      </w:r>
      <w:r w:rsidRPr="008848FD">
        <w:rPr>
          <w:rFonts w:eastAsia="Times New Roman" w:cs="Times New Roman"/>
          <w:color w:val="000000"/>
          <w:kern w:val="0"/>
          <w:lang w:eastAsia="en-US" w:bidi="ar-SA"/>
        </w:rPr>
        <w:t xml:space="preserve">the share of </w:t>
      </w:r>
      <w:r w:rsidRPr="008848FD">
        <w:rPr>
          <w:rFonts w:cs="Times New Roman"/>
        </w:rPr>
        <w:t>financial expenditures that was funded out of profit fell by 44%, from an average of 70% to an average of 39%.</w:t>
      </w:r>
    </w:p>
    <w:p w:rsidR="00204F41" w:rsidRPr="0001757A" w:rsidRDefault="006B4C3B" w:rsidP="00A105FE">
      <w:pPr>
        <w:pStyle w:val="BodyText"/>
        <w:widowControl/>
        <w:suppressAutoHyphens w:val="0"/>
        <w:spacing w:after="0" w:line="480" w:lineRule="auto"/>
        <w:contextualSpacing/>
        <w:rPr>
          <w:rFonts w:cs="Times New Roman"/>
        </w:rPr>
      </w:pPr>
      <w:r>
        <w:rPr>
          <w:rFonts w:cs="Times New Roman"/>
        </w:rPr>
        <w:tab/>
      </w:r>
      <w:r w:rsidR="00204F41" w:rsidRPr="0001757A">
        <w:rPr>
          <w:rFonts w:cs="Times New Roman"/>
        </w:rPr>
        <w:t>If we compare the increase in nonfinancial corporations</w:t>
      </w:r>
      <w:r w:rsidR="0071600A">
        <w:rPr>
          <w:rFonts w:cs="Times New Roman"/>
        </w:rPr>
        <w:t>’</w:t>
      </w:r>
      <w:r w:rsidR="00204F41" w:rsidRPr="0001757A">
        <w:rPr>
          <w:rFonts w:cs="Times New Roman"/>
        </w:rPr>
        <w:t xml:space="preserve"> financial </w:t>
      </w:r>
      <w:r w:rsidR="004E741F" w:rsidRPr="0001757A">
        <w:rPr>
          <w:rFonts w:cs="Times New Roman"/>
        </w:rPr>
        <w:t xml:space="preserve">assets </w:t>
      </w:r>
      <w:r w:rsidR="00204F41" w:rsidRPr="0001757A">
        <w:rPr>
          <w:rFonts w:cs="Times New Roman"/>
        </w:rPr>
        <w:t xml:space="preserve">to their liabilities (see Figure </w:t>
      </w:r>
      <w:r w:rsidR="002F161B">
        <w:rPr>
          <w:rFonts w:cs="Times New Roman"/>
        </w:rPr>
        <w:t>7</w:t>
      </w:r>
      <w:r w:rsidR="00204F41" w:rsidRPr="0001757A">
        <w:rPr>
          <w:rFonts w:cs="Times New Roman"/>
        </w:rPr>
        <w:t>), we find that the trends are largely the same. In general, the huge increase in these corporations</w:t>
      </w:r>
      <w:r w:rsidR="0071600A">
        <w:rPr>
          <w:rFonts w:cs="Times New Roman"/>
        </w:rPr>
        <w:t>’</w:t>
      </w:r>
      <w:r w:rsidR="00204F41" w:rsidRPr="0001757A">
        <w:rPr>
          <w:rFonts w:cs="Times New Roman"/>
        </w:rPr>
        <w:t xml:space="preserve"> financial investment was paid for by a comparatively huge increase in borrowing. When firms use borrowed funds to purchase financial assets, there is no necessary tradeoff between financial and productive investment, since the profits that can be used to fund productive investment are left unchanged. </w:t>
      </w:r>
    </w:p>
    <w:p w:rsidR="00EC4F87" w:rsidRPr="0001757A" w:rsidRDefault="00EC4F87" w:rsidP="00A105FE">
      <w:pPr>
        <w:pStyle w:val="BodyText"/>
        <w:widowControl/>
        <w:suppressAutoHyphens w:val="0"/>
        <w:spacing w:after="0" w:line="720" w:lineRule="auto"/>
        <w:contextualSpacing/>
        <w:rPr>
          <w:rFonts w:cs="Times New Roman"/>
        </w:rPr>
      </w:pPr>
    </w:p>
    <w:p w:rsidR="00204F41" w:rsidRPr="0001757A" w:rsidRDefault="00204F41" w:rsidP="00A105FE">
      <w:pPr>
        <w:pStyle w:val="BodyText"/>
        <w:widowControl/>
        <w:suppressAutoHyphens w:val="0"/>
        <w:spacing w:after="0"/>
        <w:contextualSpacing/>
        <w:rPr>
          <w:rFonts w:cs="Times New Roman"/>
          <w:b/>
        </w:rPr>
      </w:pPr>
      <w:r w:rsidRPr="0001757A">
        <w:rPr>
          <w:rFonts w:cs="Times New Roman"/>
          <w:b/>
        </w:rPr>
        <w:t xml:space="preserve">Figure </w:t>
      </w:r>
      <w:r w:rsidR="002F161B">
        <w:rPr>
          <w:rFonts w:cs="Times New Roman"/>
          <w:b/>
        </w:rPr>
        <w:t>7</w:t>
      </w:r>
      <w:r w:rsidRPr="0001757A">
        <w:rPr>
          <w:rFonts w:cs="Times New Roman"/>
          <w:b/>
        </w:rPr>
        <w:t xml:space="preserve">. Financial Assets and Liabilities of </w:t>
      </w:r>
      <w:r w:rsidR="002F161B">
        <w:rPr>
          <w:rFonts w:cs="Times New Roman"/>
          <w:b/>
        </w:rPr>
        <w:t xml:space="preserve">U.S. </w:t>
      </w:r>
      <w:r w:rsidRPr="0001757A">
        <w:rPr>
          <w:rFonts w:cs="Times New Roman"/>
          <w:b/>
        </w:rPr>
        <w:t>Nonfinancial Corporations</w:t>
      </w:r>
    </w:p>
    <w:p w:rsidR="00204F41" w:rsidRPr="0001757A" w:rsidRDefault="00204F41" w:rsidP="00A105FE">
      <w:pPr>
        <w:pStyle w:val="BodyText"/>
        <w:widowControl/>
        <w:suppressAutoHyphens w:val="0"/>
        <w:spacing w:after="0"/>
        <w:contextualSpacing/>
        <w:rPr>
          <w:rFonts w:cs="Times New Roman"/>
        </w:rPr>
      </w:pPr>
      <w:r w:rsidRPr="0001757A">
        <w:rPr>
          <w:rFonts w:cs="Times New Roman"/>
        </w:rPr>
        <w:t>(percentages of Gross Domestic Product)</w:t>
      </w:r>
    </w:p>
    <w:p w:rsidR="00204F41" w:rsidRPr="000E234D" w:rsidRDefault="00204F41" w:rsidP="00A105FE">
      <w:pPr>
        <w:pStyle w:val="BodyText"/>
        <w:widowControl/>
        <w:suppressAutoHyphens w:val="0"/>
        <w:spacing w:after="0" w:line="720" w:lineRule="auto"/>
        <w:contextualSpacing/>
        <w:rPr>
          <w:rFonts w:cs="Times New Roman"/>
        </w:rPr>
      </w:pPr>
      <w:r w:rsidRPr="00A737A7">
        <w:rPr>
          <w:rFonts w:cs="Times New Roman"/>
          <w:noProof/>
          <w:lang w:eastAsia="en-US" w:bidi="ar-SA"/>
        </w:rPr>
        <w:drawing>
          <wp:inline distT="0" distB="0" distL="0" distR="0" wp14:anchorId="15EF37B8" wp14:editId="15395A46">
            <wp:extent cx="5924550" cy="29146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161B" w:rsidRDefault="002F161B" w:rsidP="002F161B">
      <w:pPr>
        <w:pStyle w:val="BodyText"/>
        <w:widowControl/>
        <w:suppressAutoHyphens w:val="0"/>
        <w:spacing w:after="0" w:line="480" w:lineRule="auto"/>
        <w:contextualSpacing/>
        <w:rPr>
          <w:rFonts w:cs="Times New Roman"/>
        </w:rPr>
      </w:pPr>
    </w:p>
    <w:p w:rsidR="002F161B" w:rsidRPr="00A737A7" w:rsidRDefault="002F161B" w:rsidP="00A105FE">
      <w:pPr>
        <w:pStyle w:val="BodyText"/>
        <w:widowControl/>
        <w:suppressAutoHyphens w:val="0"/>
        <w:spacing w:after="0" w:line="480" w:lineRule="auto"/>
        <w:ind w:firstLine="706"/>
        <w:contextualSpacing/>
        <w:rPr>
          <w:rFonts w:cs="Times New Roman"/>
        </w:rPr>
      </w:pPr>
      <w:r w:rsidRPr="0001757A">
        <w:rPr>
          <w:rFonts w:cs="Times New Roman"/>
        </w:rPr>
        <w:t xml:space="preserve">Figure </w:t>
      </w:r>
      <w:r>
        <w:rPr>
          <w:rFonts w:cs="Times New Roman"/>
        </w:rPr>
        <w:t>7</w:t>
      </w:r>
      <w:r w:rsidRPr="0001757A">
        <w:rPr>
          <w:rFonts w:cs="Times New Roman"/>
        </w:rPr>
        <w:t xml:space="preserve"> seems to suggest that the period between 1997 and 2000 was an important exception to the generalization that financial assets were acquired by means of borrowing, but it actually was not an exception. It is true that nonfinancial corporations</w:t>
      </w:r>
      <w:r w:rsidR="0071600A">
        <w:rPr>
          <w:rFonts w:cs="Times New Roman"/>
        </w:rPr>
        <w:t>’</w:t>
      </w:r>
      <w:r w:rsidRPr="0001757A">
        <w:rPr>
          <w:rFonts w:cs="Times New Roman"/>
        </w:rPr>
        <w:t xml:space="preserve"> financial assets increased </w:t>
      </w:r>
      <w:r w:rsidRPr="0001757A">
        <w:rPr>
          <w:rFonts w:cs="Times New Roman"/>
        </w:rPr>
        <w:lastRenderedPageBreak/>
        <w:t xml:space="preserve">much more than did their liabilities between 1997 and 2000, by $3.9 trillion versus $3.0 trillion. However, </w:t>
      </w:r>
      <w:r w:rsidRPr="0001757A">
        <w:rPr>
          <w:rFonts w:cs="Times New Roman"/>
          <w:i/>
        </w:rPr>
        <w:t>this increase in financial assets relative to liabilities did not come at the expense of a decline in productive investment</w:t>
      </w:r>
      <w:r w:rsidRPr="0001757A">
        <w:rPr>
          <w:rFonts w:cs="Times New Roman"/>
        </w:rPr>
        <w:t xml:space="preserve">. Net investment jumped from 59% of after-tax profit in 1997 to 100% in 2000. Nor was the disproportional growth of financial assets the result of new </w:t>
      </w:r>
      <w:r w:rsidRPr="0001757A">
        <w:rPr>
          <w:rFonts w:cs="Times New Roman"/>
          <w:i/>
        </w:rPr>
        <w:t>acquisitions</w:t>
      </w:r>
      <w:r w:rsidRPr="0001757A">
        <w:rPr>
          <w:rFonts w:cs="Times New Roman"/>
        </w:rPr>
        <w:t xml:space="preserve"> of assets in excess of new liabilities. On the contrary, all of the financial assets acquired during this period were funded by means of new liabilities: </w:t>
      </w:r>
      <w:r>
        <w:rPr>
          <w:rFonts w:cs="Times New Roman"/>
        </w:rPr>
        <w:t xml:space="preserve">between 1997 and 2000, </w:t>
      </w:r>
      <w:r w:rsidRPr="0001757A">
        <w:rPr>
          <w:rFonts w:cs="Times New Roman"/>
        </w:rPr>
        <w:t>net acquisitions</w:t>
      </w:r>
      <w:r>
        <w:rPr>
          <w:rFonts w:cs="Times New Roman"/>
        </w:rPr>
        <w:t xml:space="preserve"> of assets</w:t>
      </w:r>
      <w:r w:rsidRPr="0001757A">
        <w:rPr>
          <w:rFonts w:cs="Times New Roman"/>
        </w:rPr>
        <w:t xml:space="preserve"> totaled $3.0 trillion while additional liabilities totaled $3.1 trillion. What accounts for the disproportional growth of financial assets is therefore the upward </w:t>
      </w:r>
      <w:r w:rsidRPr="0001757A">
        <w:rPr>
          <w:rFonts w:cs="Times New Roman"/>
          <w:i/>
        </w:rPr>
        <w:t>revaluation</w:t>
      </w:r>
      <w:r w:rsidRPr="0001757A">
        <w:rPr>
          <w:rFonts w:cs="Times New Roman"/>
        </w:rPr>
        <w:t xml:space="preserve"> of these assets that took place; the revaluation was probably due largely to the skyrocketing of share prices during the dot-com bubble. Hence, the events of the period between 1997 and 2000 are fully consonant with our conclusion that financial assets have been acquired with borrowed funds, not by a diversion of profit from productive investment.</w:t>
      </w:r>
    </w:p>
    <w:p w:rsidR="00204F41" w:rsidRPr="00A737A7" w:rsidRDefault="002F161B" w:rsidP="00C52483">
      <w:pPr>
        <w:pStyle w:val="BodyText"/>
        <w:widowControl/>
        <w:suppressAutoHyphens w:val="0"/>
        <w:spacing w:after="0" w:line="480" w:lineRule="auto"/>
        <w:contextualSpacing/>
        <w:rPr>
          <w:rFonts w:cs="Times New Roman"/>
        </w:rPr>
      </w:pPr>
      <w:r>
        <w:rPr>
          <w:rFonts w:cs="Times New Roman"/>
        </w:rPr>
        <w:tab/>
      </w:r>
      <w:r w:rsidR="00204F41" w:rsidRPr="000E234D">
        <w:rPr>
          <w:rFonts w:cs="Times New Roman"/>
        </w:rPr>
        <w:t>A similar corollary exists with respect to financial payouts. It is true that dividends have increased markedly as a share of profits during the last two decades. It is sometimes wrongly assumed that when a bigger share of profit goes to pay dividends, it must be the case that a smaller share of profit goes to productive investment. This assumption is fallacious because, again, profit is not the only source of corporations</w:t>
      </w:r>
      <w:r w:rsidR="0071600A">
        <w:rPr>
          <w:rFonts w:cs="Times New Roman"/>
        </w:rPr>
        <w:t>’</w:t>
      </w:r>
      <w:r w:rsidR="00204F41" w:rsidRPr="000E234D">
        <w:rPr>
          <w:rFonts w:cs="Times New Roman"/>
        </w:rPr>
        <w:t xml:space="preserve"> funds.  If they borrow more, and invest the borrowed funds in productive assets, then dividends and productive investment can both be bigger in relation to profit.  </w:t>
      </w:r>
    </w:p>
    <w:p w:rsidR="00204F41" w:rsidRPr="00A737A7" w:rsidRDefault="00204F41" w:rsidP="00C52483">
      <w:pPr>
        <w:pStyle w:val="BodyText"/>
        <w:widowControl/>
        <w:suppressAutoHyphens w:val="0"/>
        <w:spacing w:after="0" w:line="480" w:lineRule="auto"/>
        <w:ind w:firstLine="706"/>
        <w:contextualSpacing/>
        <w:rPr>
          <w:rFonts w:cs="Times New Roman"/>
        </w:rPr>
      </w:pPr>
      <w:r w:rsidRPr="000E234D">
        <w:rPr>
          <w:rFonts w:cs="Times New Roman"/>
          <w:bCs/>
        </w:rPr>
        <w:t xml:space="preserve">As </w:t>
      </w:r>
      <w:r w:rsidR="002F161B">
        <w:rPr>
          <w:rFonts w:cs="Times New Roman"/>
          <w:bCs/>
        </w:rPr>
        <w:t>F</w:t>
      </w:r>
      <w:r w:rsidR="002F161B" w:rsidRPr="000E234D">
        <w:rPr>
          <w:rFonts w:cs="Times New Roman"/>
          <w:bCs/>
        </w:rPr>
        <w:t xml:space="preserve">igure </w:t>
      </w:r>
      <w:r w:rsidR="002F161B">
        <w:rPr>
          <w:rFonts w:cs="Times New Roman"/>
          <w:bCs/>
        </w:rPr>
        <w:t>8</w:t>
      </w:r>
      <w:r w:rsidR="002F161B" w:rsidRPr="000E234D">
        <w:rPr>
          <w:rFonts w:cs="Times New Roman"/>
        </w:rPr>
        <w:t xml:space="preserve"> </w:t>
      </w:r>
      <w:r w:rsidRPr="000E234D">
        <w:rPr>
          <w:rFonts w:cs="Times New Roman"/>
        </w:rPr>
        <w:t xml:space="preserve">demonstrates, there was in fact no tradeoff between the share of after-tax profit paid out as dividends and the share devoted to net productive investment. The graph splits the data into two subperiods to capture the effect of an obvious structural break that took place from 1989 onward. With the exception of one outlier, 2005, the dividend share of profit during </w:t>
      </w:r>
      <w:r w:rsidRPr="000E234D">
        <w:rPr>
          <w:rFonts w:cs="Times New Roman"/>
        </w:rPr>
        <w:lastRenderedPageBreak/>
        <w:t>this latter subperiod consistently exceeded its values between 1947 and 1988. For the 1947–1988 subperiod, the nearly horizontal regression line and the miniscule coefficient of determination (</w:t>
      </w:r>
      <w:r w:rsidRPr="000E234D">
        <w:rPr>
          <w:rFonts w:cs="Times New Roman"/>
          <w:i/>
        </w:rPr>
        <w:t>R</w:t>
      </w:r>
      <w:r w:rsidRPr="000E234D">
        <w:rPr>
          <w:rFonts w:cs="Times New Roman"/>
          <w:vertAlign w:val="superscript"/>
        </w:rPr>
        <w:t>2</w:t>
      </w:r>
      <w:r w:rsidRPr="000E234D">
        <w:rPr>
          <w:rFonts w:cs="Times New Roman"/>
        </w:rPr>
        <w:t xml:space="preserve"> &lt; 0.001) indicate that there was almost no relationship between the dividend and productive </w:t>
      </w:r>
    </w:p>
    <w:p w:rsidR="00C8353B" w:rsidRPr="000E234D" w:rsidRDefault="00C8353B" w:rsidP="00C52483">
      <w:pPr>
        <w:pStyle w:val="BodyText"/>
        <w:widowControl/>
        <w:suppressAutoHyphens w:val="0"/>
        <w:spacing w:after="0" w:line="720" w:lineRule="auto"/>
        <w:contextualSpacing/>
        <w:rPr>
          <w:rFonts w:cs="Times New Roman"/>
        </w:rPr>
      </w:pPr>
    </w:p>
    <w:p w:rsidR="00C8353B" w:rsidRPr="00A737A7" w:rsidRDefault="00204F41" w:rsidP="00C52483">
      <w:pPr>
        <w:widowControl/>
        <w:suppressAutoHyphens w:val="0"/>
        <w:contextualSpacing/>
        <w:rPr>
          <w:rFonts w:cs="Times New Roman"/>
        </w:rPr>
      </w:pPr>
      <w:r w:rsidRPr="000E234D">
        <w:rPr>
          <w:rFonts w:cs="Times New Roman"/>
          <w:b/>
        </w:rPr>
        <w:t>Fig</w:t>
      </w:r>
      <w:r w:rsidR="002F161B">
        <w:rPr>
          <w:rFonts w:cs="Times New Roman"/>
          <w:b/>
        </w:rPr>
        <w:t>ure</w:t>
      </w:r>
      <w:r w:rsidRPr="000E234D">
        <w:rPr>
          <w:rFonts w:cs="Times New Roman"/>
          <w:b/>
        </w:rPr>
        <w:t xml:space="preserve"> </w:t>
      </w:r>
      <w:r w:rsidR="002F161B">
        <w:rPr>
          <w:rFonts w:cs="Times New Roman"/>
          <w:b/>
        </w:rPr>
        <w:t>8</w:t>
      </w:r>
      <w:r w:rsidRPr="000E234D">
        <w:rPr>
          <w:rFonts w:cs="Times New Roman"/>
          <w:b/>
        </w:rPr>
        <w:t>. Productive Investment and Dividend Payments, U.S.</w:t>
      </w:r>
      <w:r w:rsidRPr="000E234D">
        <w:rPr>
          <w:rFonts w:cs="Times New Roman"/>
        </w:rPr>
        <w:t xml:space="preserve"> </w:t>
      </w:r>
      <w:r w:rsidRPr="000E234D">
        <w:rPr>
          <w:rFonts w:cs="Times New Roman"/>
          <w:b/>
        </w:rPr>
        <w:t>Corporations</w:t>
      </w:r>
      <w:r w:rsidRPr="000E234D">
        <w:rPr>
          <w:rFonts w:cs="Times New Roman"/>
        </w:rPr>
        <w:t xml:space="preserve"> </w:t>
      </w:r>
    </w:p>
    <w:p w:rsidR="00204F41" w:rsidRPr="000E234D" w:rsidRDefault="00204F41" w:rsidP="00C52483">
      <w:pPr>
        <w:widowControl/>
        <w:suppressAutoHyphens w:val="0"/>
        <w:contextualSpacing/>
        <w:rPr>
          <w:rFonts w:cs="Times New Roman"/>
        </w:rPr>
      </w:pPr>
      <w:r w:rsidRPr="000E234D">
        <w:rPr>
          <w:rFonts w:cs="Times New Roman"/>
        </w:rPr>
        <w:t>(</w:t>
      </w:r>
      <w:r w:rsidR="00C8353B" w:rsidRPr="00A737A7">
        <w:rPr>
          <w:rFonts w:cs="Times New Roman"/>
        </w:rPr>
        <w:t>percentages of after-tax profit</w:t>
      </w:r>
      <w:r w:rsidRPr="000E234D">
        <w:rPr>
          <w:rFonts w:cs="Times New Roman"/>
        </w:rPr>
        <w:t>)</w:t>
      </w:r>
    </w:p>
    <w:p w:rsidR="00204F41" w:rsidRPr="000E234D" w:rsidRDefault="00204F41" w:rsidP="00C52483">
      <w:pPr>
        <w:widowControl/>
        <w:suppressAutoHyphens w:val="0"/>
        <w:spacing w:line="480" w:lineRule="auto"/>
        <w:contextualSpacing/>
        <w:rPr>
          <w:rFonts w:cs="Times New Roman"/>
        </w:rPr>
      </w:pPr>
      <w:r w:rsidRPr="00A737A7">
        <w:rPr>
          <w:rFonts w:cs="Times New Roman"/>
          <w:noProof/>
          <w:lang w:eastAsia="en-US" w:bidi="ar-SA"/>
        </w:rPr>
        <w:drawing>
          <wp:inline distT="0" distB="0" distL="0" distR="0" wp14:anchorId="5448ED65" wp14:editId="0CC81DDA">
            <wp:extent cx="5867400" cy="34956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4F41" w:rsidRDefault="00204F41" w:rsidP="00C52483">
      <w:pPr>
        <w:widowControl/>
        <w:suppressAutoHyphens w:val="0"/>
        <w:spacing w:line="720" w:lineRule="auto"/>
        <w:contextualSpacing/>
        <w:rPr>
          <w:rFonts w:cs="Times New Roman"/>
        </w:rPr>
      </w:pPr>
    </w:p>
    <w:p w:rsidR="006B4C3B" w:rsidRPr="00A737A7" w:rsidRDefault="006B4C3B" w:rsidP="00C52483">
      <w:pPr>
        <w:pStyle w:val="BodyText"/>
        <w:widowControl/>
        <w:suppressAutoHyphens w:val="0"/>
        <w:spacing w:after="0" w:line="480" w:lineRule="auto"/>
        <w:contextualSpacing/>
        <w:rPr>
          <w:rFonts w:cs="Times New Roman"/>
        </w:rPr>
      </w:pPr>
      <w:r w:rsidRPr="000E234D">
        <w:rPr>
          <w:rFonts w:cs="Times New Roman"/>
        </w:rPr>
        <w:t>investment shares.</w:t>
      </w:r>
      <w:r w:rsidRPr="000E234D">
        <w:rPr>
          <w:rStyle w:val="FootnoteReference"/>
          <w:rFonts w:cs="Times New Roman"/>
        </w:rPr>
        <w:footnoteReference w:id="12"/>
      </w:r>
      <w:r w:rsidRPr="000E234D">
        <w:rPr>
          <w:rFonts w:cs="Times New Roman"/>
        </w:rPr>
        <w:t xml:space="preserve"> During the 1989-2007 subperiod, there was again no statistically significant relationship between the dividend and productive investment shares (at normal levels of testing), </w:t>
      </w:r>
      <w:r w:rsidRPr="000E234D">
        <w:rPr>
          <w:rFonts w:cs="Times New Roman"/>
        </w:rPr>
        <w:lastRenderedPageBreak/>
        <w:t xml:space="preserve">and the upward slope of the regression line indicates that increases in investment actually tended to be associated with increases, not decreases, in dividends. </w:t>
      </w:r>
    </w:p>
    <w:p w:rsidR="00E7490C" w:rsidRPr="00532DB7" w:rsidRDefault="004F27E1" w:rsidP="00C52483">
      <w:pPr>
        <w:pStyle w:val="FootnoteText"/>
        <w:widowControl/>
        <w:suppressLineNumbers w:val="0"/>
        <w:suppressAutoHyphens w:val="0"/>
        <w:spacing w:line="480" w:lineRule="auto"/>
        <w:ind w:left="0" w:firstLine="706"/>
        <w:contextualSpacing/>
        <w:rPr>
          <w:rFonts w:cs="Times New Roman"/>
          <w:sz w:val="24"/>
          <w:szCs w:val="24"/>
        </w:rPr>
      </w:pPr>
      <w:bookmarkStart w:id="0" w:name="_GoBack"/>
      <w:r w:rsidRPr="00532DB7">
        <w:rPr>
          <w:rFonts w:cs="Times New Roman"/>
          <w:sz w:val="24"/>
          <w:szCs w:val="24"/>
        </w:rPr>
        <w:t xml:space="preserve">In marked contrast, Figure </w:t>
      </w:r>
      <w:r w:rsidR="002F161B">
        <w:rPr>
          <w:rFonts w:cs="Times New Roman"/>
          <w:sz w:val="24"/>
          <w:szCs w:val="24"/>
        </w:rPr>
        <w:t>9</w:t>
      </w:r>
      <w:r w:rsidR="002F161B" w:rsidRPr="00532DB7">
        <w:rPr>
          <w:rFonts w:cs="Times New Roman"/>
          <w:sz w:val="24"/>
          <w:szCs w:val="24"/>
        </w:rPr>
        <w:t xml:space="preserve"> </w:t>
      </w:r>
      <w:r w:rsidRPr="00532DB7">
        <w:rPr>
          <w:rFonts w:cs="Times New Roman"/>
          <w:sz w:val="24"/>
          <w:szCs w:val="24"/>
        </w:rPr>
        <w:t>shows that there was a very strong positive association between net</w:t>
      </w:r>
      <w:r w:rsidR="00A737A7">
        <w:rPr>
          <w:rFonts w:cs="Times New Roman"/>
          <w:sz w:val="24"/>
          <w:szCs w:val="24"/>
        </w:rPr>
        <w:t xml:space="preserve"> </w:t>
      </w:r>
      <w:r w:rsidRPr="00532DB7">
        <w:rPr>
          <w:rFonts w:cs="Times New Roman"/>
          <w:sz w:val="24"/>
          <w:szCs w:val="24"/>
        </w:rPr>
        <w:t xml:space="preserve">productive </w:t>
      </w:r>
      <w:r w:rsidR="000E234D" w:rsidRPr="00532DB7">
        <w:rPr>
          <w:rFonts w:cs="Times New Roman"/>
          <w:sz w:val="24"/>
          <w:szCs w:val="24"/>
        </w:rPr>
        <w:t>investment and</w:t>
      </w:r>
      <w:r w:rsidRPr="00532DB7">
        <w:rPr>
          <w:rFonts w:cs="Times New Roman"/>
          <w:sz w:val="24"/>
          <w:szCs w:val="24"/>
        </w:rPr>
        <w:t xml:space="preserve"> </w:t>
      </w:r>
      <w:r w:rsidR="0071600A">
        <w:rPr>
          <w:rFonts w:cs="Times New Roman"/>
          <w:sz w:val="24"/>
          <w:szCs w:val="24"/>
        </w:rPr>
        <w:t>“</w:t>
      </w:r>
      <w:r w:rsidRPr="00532DB7">
        <w:rPr>
          <w:rFonts w:cs="Times New Roman"/>
          <w:sz w:val="24"/>
          <w:szCs w:val="24"/>
        </w:rPr>
        <w:t>borrowing</w:t>
      </w:r>
      <w:r w:rsidR="0071600A">
        <w:rPr>
          <w:rFonts w:cs="Times New Roman"/>
          <w:sz w:val="24"/>
          <w:szCs w:val="24"/>
        </w:rPr>
        <w:t>”</w:t>
      </w:r>
      <w:r w:rsidRPr="00532DB7">
        <w:rPr>
          <w:rFonts w:cs="Times New Roman"/>
          <w:sz w:val="24"/>
          <w:szCs w:val="24"/>
        </w:rPr>
        <w:t>––the portion of net investment and dividends not funded out of after-tax</w:t>
      </w:r>
      <w:r w:rsidR="002F161B">
        <w:rPr>
          <w:rFonts w:cs="Times New Roman"/>
          <w:sz w:val="24"/>
          <w:szCs w:val="24"/>
        </w:rPr>
        <w:t xml:space="preserve"> </w:t>
      </w:r>
      <w:r w:rsidRPr="00532DB7">
        <w:rPr>
          <w:rFonts w:cs="Times New Roman"/>
          <w:sz w:val="24"/>
          <w:szCs w:val="24"/>
        </w:rPr>
        <w:t xml:space="preserve">profit––as shares of after-tax profit. </w:t>
      </w:r>
      <w:bookmarkEnd w:id="0"/>
      <w:r w:rsidRPr="00532DB7">
        <w:rPr>
          <w:rFonts w:cs="Times New Roman"/>
          <w:sz w:val="24"/>
          <w:szCs w:val="24"/>
        </w:rPr>
        <w:t xml:space="preserve">The slope coefficients, 1.00 for the earlier subperiod and 1.18 for the latter subperiod, indicate that $1 rise in investment was on average associated with additional borrowing of $1.00 and $1.18. When 2005, the outlier </w:t>
      </w:r>
    </w:p>
    <w:p w:rsidR="004F27E1" w:rsidRDefault="004F27E1" w:rsidP="00C52483">
      <w:pPr>
        <w:pStyle w:val="FootnoteText"/>
        <w:widowControl/>
        <w:suppressLineNumbers w:val="0"/>
        <w:suppressAutoHyphens w:val="0"/>
        <w:spacing w:line="720" w:lineRule="auto"/>
        <w:ind w:left="0" w:firstLine="0"/>
        <w:contextualSpacing/>
        <w:rPr>
          <w:rFonts w:cs="Times New Roman"/>
          <w:sz w:val="24"/>
          <w:szCs w:val="24"/>
        </w:rPr>
      </w:pPr>
      <w:r w:rsidRPr="00532DB7">
        <w:rPr>
          <w:rFonts w:cs="Times New Roman"/>
          <w:sz w:val="24"/>
          <w:szCs w:val="24"/>
        </w:rPr>
        <w:t xml:space="preserve"> </w:t>
      </w:r>
    </w:p>
    <w:p w:rsidR="00204F41" w:rsidRPr="000E234D" w:rsidRDefault="00204F41" w:rsidP="00C52483">
      <w:pPr>
        <w:widowControl/>
        <w:suppressAutoHyphens w:val="0"/>
        <w:contextualSpacing/>
        <w:rPr>
          <w:rFonts w:cs="Times New Roman"/>
          <w:b/>
        </w:rPr>
      </w:pPr>
      <w:r w:rsidRPr="000E234D">
        <w:rPr>
          <w:rFonts w:cs="Times New Roman"/>
          <w:b/>
        </w:rPr>
        <w:t>Fig</w:t>
      </w:r>
      <w:r w:rsidR="002F161B">
        <w:rPr>
          <w:rFonts w:cs="Times New Roman"/>
          <w:b/>
        </w:rPr>
        <w:t>ure 9</w:t>
      </w:r>
      <w:r w:rsidRPr="000E234D">
        <w:rPr>
          <w:rFonts w:cs="Times New Roman"/>
          <w:b/>
        </w:rPr>
        <w:t xml:space="preserve">. Productive Investment and </w:t>
      </w:r>
      <w:r w:rsidR="00167493" w:rsidRPr="000E234D">
        <w:rPr>
          <w:rFonts w:cs="Times New Roman"/>
          <w:b/>
        </w:rPr>
        <w:t>Borrowing</w:t>
      </w:r>
      <w:r w:rsidRPr="000E234D">
        <w:rPr>
          <w:rFonts w:cs="Times New Roman"/>
          <w:b/>
        </w:rPr>
        <w:t xml:space="preserve">, U.S. Corporations </w:t>
      </w:r>
    </w:p>
    <w:p w:rsidR="00C8353B" w:rsidRPr="008848FD" w:rsidRDefault="00C8353B" w:rsidP="00C52483">
      <w:pPr>
        <w:widowControl/>
        <w:suppressAutoHyphens w:val="0"/>
        <w:contextualSpacing/>
        <w:rPr>
          <w:rFonts w:cs="Times New Roman"/>
        </w:rPr>
      </w:pPr>
      <w:r w:rsidRPr="00A737A7">
        <w:rPr>
          <w:rFonts w:cs="Times New Roman"/>
        </w:rPr>
        <w:t>(percentages of after-tax profit</w:t>
      </w:r>
      <w:r w:rsidRPr="008848FD">
        <w:rPr>
          <w:rFonts w:cs="Times New Roman"/>
        </w:rPr>
        <w:t>)</w:t>
      </w:r>
    </w:p>
    <w:p w:rsidR="00204F41" w:rsidRPr="000E234D" w:rsidRDefault="00204F41" w:rsidP="00C52483">
      <w:pPr>
        <w:widowControl/>
        <w:suppressAutoHyphens w:val="0"/>
        <w:spacing w:line="480" w:lineRule="auto"/>
        <w:contextualSpacing/>
        <w:rPr>
          <w:rFonts w:cs="Times New Roman"/>
        </w:rPr>
      </w:pPr>
    </w:p>
    <w:p w:rsidR="00204F41" w:rsidRPr="000E234D" w:rsidRDefault="00204F41" w:rsidP="00C52483">
      <w:pPr>
        <w:widowControl/>
        <w:suppressAutoHyphens w:val="0"/>
        <w:spacing w:line="480" w:lineRule="auto"/>
        <w:contextualSpacing/>
        <w:rPr>
          <w:rFonts w:cs="Times New Roman"/>
        </w:rPr>
      </w:pPr>
      <w:r w:rsidRPr="00A737A7">
        <w:rPr>
          <w:rFonts w:cs="Times New Roman"/>
          <w:noProof/>
          <w:lang w:eastAsia="en-US" w:bidi="ar-SA"/>
        </w:rPr>
        <w:drawing>
          <wp:inline distT="0" distB="0" distL="0" distR="0" wp14:anchorId="742DE5B8" wp14:editId="1FD2C685">
            <wp:extent cx="5934075" cy="3581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4C3B" w:rsidRPr="00532DB7" w:rsidRDefault="006B4C3B" w:rsidP="00C52483">
      <w:pPr>
        <w:pStyle w:val="FootnoteText"/>
        <w:widowControl/>
        <w:suppressLineNumbers w:val="0"/>
        <w:suppressAutoHyphens w:val="0"/>
        <w:spacing w:line="480" w:lineRule="auto"/>
        <w:ind w:left="0" w:firstLine="0"/>
        <w:contextualSpacing/>
        <w:rPr>
          <w:rFonts w:cs="Times New Roman"/>
          <w:sz w:val="24"/>
          <w:szCs w:val="24"/>
        </w:rPr>
      </w:pPr>
      <w:r w:rsidRPr="00532DB7">
        <w:rPr>
          <w:rFonts w:cs="Times New Roman"/>
          <w:sz w:val="24"/>
          <w:szCs w:val="24"/>
        </w:rPr>
        <w:lastRenderedPageBreak/>
        <w:t>year, is omitted, the latter slope coefficient falls to 1.08.</w:t>
      </w:r>
      <w:r>
        <w:rPr>
          <w:rFonts w:cs="Times New Roman"/>
          <w:sz w:val="24"/>
          <w:szCs w:val="24"/>
        </w:rPr>
        <w:t xml:space="preserve"> Since the slope coefficients for the 1989–2007 subperiod are </w:t>
      </w:r>
      <w:r w:rsidRPr="00532DB7">
        <w:rPr>
          <w:sz w:val="24"/>
          <w:szCs w:val="24"/>
        </w:rPr>
        <w:t>not statistically different from 1 at normal levels of testing</w:t>
      </w:r>
      <w:r>
        <w:rPr>
          <w:sz w:val="24"/>
          <w:szCs w:val="24"/>
        </w:rPr>
        <w:t xml:space="preserve">, these </w:t>
      </w:r>
      <w:r w:rsidRPr="00532DB7">
        <w:rPr>
          <w:rFonts w:cs="Times New Roman"/>
          <w:sz w:val="24"/>
          <w:szCs w:val="24"/>
        </w:rPr>
        <w:t>results strongly suggest that increases in net investment were paid for––dollar-for-dollar––by means of borrowed funds during both subperiods.</w:t>
      </w:r>
      <w:r>
        <w:rPr>
          <w:rStyle w:val="FootnoteReference"/>
          <w:rFonts w:cs="Times New Roman"/>
          <w:sz w:val="24"/>
          <w:szCs w:val="24"/>
        </w:rPr>
        <w:footnoteReference w:id="13"/>
      </w:r>
      <w:r w:rsidRPr="00532DB7">
        <w:rPr>
          <w:rFonts w:cs="Times New Roman"/>
          <w:sz w:val="24"/>
          <w:szCs w:val="24"/>
        </w:rPr>
        <w:t xml:space="preserve">  </w:t>
      </w:r>
    </w:p>
    <w:p w:rsidR="00204F41" w:rsidRDefault="00BB59AC" w:rsidP="00C52483">
      <w:pPr>
        <w:pStyle w:val="BodyText"/>
        <w:widowControl/>
        <w:suppressAutoHyphens w:val="0"/>
        <w:spacing w:after="0" w:line="480" w:lineRule="auto"/>
        <w:ind w:firstLine="706"/>
        <w:contextualSpacing/>
        <w:rPr>
          <w:rFonts w:cs="Times New Roman"/>
        </w:rPr>
      </w:pPr>
      <w:r>
        <w:rPr>
          <w:sz w:val="22"/>
          <w:szCs w:val="22"/>
        </w:rPr>
        <w:t>O</w:t>
      </w:r>
      <w:r w:rsidR="006272C1">
        <w:rPr>
          <w:sz w:val="22"/>
          <w:szCs w:val="22"/>
        </w:rPr>
        <w:t>ur results</w:t>
      </w:r>
      <w:r w:rsidR="003944C7">
        <w:rPr>
          <w:sz w:val="22"/>
          <w:szCs w:val="22"/>
        </w:rPr>
        <w:t xml:space="preserve"> </w:t>
      </w:r>
      <w:r w:rsidR="00204F41" w:rsidRPr="000E234D">
        <w:rPr>
          <w:rFonts w:cs="Times New Roman"/>
        </w:rPr>
        <w:t xml:space="preserve">imply that when corporations decided to increase their productive investment, they did not obtain the extra money they needed by reducing dividends; instead, they borrowed it. And when they decided to reduce their productive investment, they did not use the freed-up funds to pay additional dividends; instead, they borrowed less. Thus, when the dividend share of profit rose markedly, between 1988 and 2000, the rise did not come about at the expense of a fall in the productive investment share. The latter also rose markedly, as the borrowing share skyrocketed from –9% to 63% (see Table </w:t>
      </w:r>
      <w:r w:rsidR="002F161B">
        <w:rPr>
          <w:rFonts w:cs="Times New Roman"/>
        </w:rPr>
        <w:t>1</w:t>
      </w:r>
      <w:r w:rsidR="00204F41" w:rsidRPr="000E234D">
        <w:rPr>
          <w:rFonts w:cs="Times New Roman"/>
        </w:rPr>
        <w:t>). Subsequently, the investment share fell very sharply, after which it partly rebounded; this was associated with a similar decline in and partial rebound in the borrowing share, while the dividend share remained within a narrow range. Moreover, the dividend share again tended to vary together, not inversely, with the investment share.</w:t>
      </w:r>
      <w:r w:rsidR="00204F41" w:rsidRPr="000E234D">
        <w:rPr>
          <w:rStyle w:val="FootnoteReference"/>
          <w:rFonts w:cs="Times New Roman"/>
        </w:rPr>
        <w:footnoteReference w:id="14"/>
      </w:r>
    </w:p>
    <w:tbl>
      <w:tblPr>
        <w:tblW w:w="8748" w:type="dxa"/>
        <w:tblLayout w:type="fixed"/>
        <w:tblLook w:val="04A0" w:firstRow="1" w:lastRow="0" w:firstColumn="1" w:lastColumn="0" w:noHBand="0" w:noVBand="1"/>
      </w:tblPr>
      <w:tblGrid>
        <w:gridCol w:w="2009"/>
        <w:gridCol w:w="1242"/>
        <w:gridCol w:w="1242"/>
        <w:gridCol w:w="1242"/>
        <w:gridCol w:w="1242"/>
        <w:gridCol w:w="1771"/>
      </w:tblGrid>
      <w:tr w:rsidR="00204F41" w:rsidRPr="008848FD" w:rsidTr="000E234D">
        <w:trPr>
          <w:trHeight w:val="255"/>
        </w:trPr>
        <w:tc>
          <w:tcPr>
            <w:tcW w:w="8748" w:type="dxa"/>
            <w:gridSpan w:val="6"/>
            <w:tcBorders>
              <w:top w:val="nil"/>
              <w:left w:val="nil"/>
              <w:bottom w:val="nil"/>
              <w:right w:val="nil"/>
            </w:tcBorders>
          </w:tcPr>
          <w:p w:rsidR="006B4C3B" w:rsidRDefault="006B4C3B" w:rsidP="004A6F82">
            <w:pPr>
              <w:widowControl/>
              <w:suppressAutoHyphens w:val="0"/>
              <w:contextualSpacing/>
              <w:rPr>
                <w:rFonts w:eastAsia="Times New Roman" w:cs="Times New Roman"/>
                <w:b/>
                <w:kern w:val="0"/>
                <w:lang w:eastAsia="en-US" w:bidi="ar-SA"/>
              </w:rPr>
            </w:pPr>
          </w:p>
          <w:p w:rsidR="00204F41" w:rsidRPr="000E234D" w:rsidRDefault="00204F41" w:rsidP="004A6F82">
            <w:pPr>
              <w:widowControl/>
              <w:suppressAutoHyphens w:val="0"/>
              <w:contextualSpacing/>
              <w:rPr>
                <w:rFonts w:eastAsia="Times New Roman" w:cs="Times New Roman"/>
                <w:b/>
                <w:kern w:val="0"/>
                <w:lang w:eastAsia="en-US" w:bidi="ar-SA"/>
              </w:rPr>
            </w:pPr>
            <w:r w:rsidRPr="000E234D">
              <w:rPr>
                <w:rFonts w:eastAsia="Times New Roman" w:cs="Times New Roman"/>
                <w:b/>
                <w:kern w:val="0"/>
                <w:lang w:eastAsia="en-US" w:bidi="ar-SA"/>
              </w:rPr>
              <w:lastRenderedPageBreak/>
              <w:t xml:space="preserve">Table </w:t>
            </w:r>
            <w:r w:rsidR="002F161B">
              <w:rPr>
                <w:rFonts w:eastAsia="Times New Roman" w:cs="Times New Roman"/>
                <w:b/>
                <w:kern w:val="0"/>
                <w:lang w:eastAsia="en-US" w:bidi="ar-SA"/>
              </w:rPr>
              <w:t>1</w:t>
            </w:r>
            <w:r w:rsidRPr="000E234D">
              <w:rPr>
                <w:rFonts w:eastAsia="Times New Roman" w:cs="Times New Roman"/>
                <w:b/>
                <w:kern w:val="0"/>
                <w:lang w:eastAsia="en-US" w:bidi="ar-SA"/>
              </w:rPr>
              <w:t>. Shares of After-Tax Profit, U.S. Corporations, 1988–2007 (selected</w:t>
            </w:r>
            <w:r w:rsidR="00C8353B" w:rsidRPr="00A737A7">
              <w:rPr>
                <w:rFonts w:eastAsia="Times New Roman" w:cs="Times New Roman"/>
                <w:b/>
                <w:kern w:val="0"/>
                <w:lang w:eastAsia="en-US" w:bidi="ar-SA"/>
              </w:rPr>
              <w:t xml:space="preserve"> </w:t>
            </w:r>
            <w:r w:rsidRPr="000E234D">
              <w:rPr>
                <w:rFonts w:eastAsia="Times New Roman" w:cs="Times New Roman"/>
                <w:b/>
                <w:kern w:val="0"/>
                <w:lang w:eastAsia="en-US" w:bidi="ar-SA"/>
              </w:rPr>
              <w:t>years)</w:t>
            </w:r>
          </w:p>
          <w:p w:rsidR="00204F41" w:rsidRPr="000E234D" w:rsidRDefault="00204F41" w:rsidP="004A6F82">
            <w:pPr>
              <w:widowControl/>
              <w:suppressAutoHyphens w:val="0"/>
              <w:contextualSpacing/>
              <w:jc w:val="right"/>
              <w:rPr>
                <w:rFonts w:eastAsia="Times New Roman" w:cs="Times New Roman"/>
                <w:kern w:val="0"/>
                <w:sz w:val="12"/>
                <w:szCs w:val="12"/>
                <w:lang w:eastAsia="en-US" w:bidi="ar-SA"/>
              </w:rPr>
            </w:pPr>
          </w:p>
        </w:tc>
      </w:tr>
      <w:tr w:rsidR="00204F41" w:rsidRPr="008848FD" w:rsidTr="000E234D">
        <w:trPr>
          <w:trHeight w:val="255"/>
        </w:trPr>
        <w:tc>
          <w:tcPr>
            <w:tcW w:w="2009" w:type="dxa"/>
            <w:tcBorders>
              <w:top w:val="nil"/>
              <w:left w:val="nil"/>
              <w:bottom w:val="nil"/>
              <w:right w:val="nil"/>
            </w:tcBorders>
          </w:tcPr>
          <w:p w:rsidR="00204F41" w:rsidRPr="008848FD" w:rsidRDefault="00204F41" w:rsidP="004A6F82">
            <w:pPr>
              <w:widowControl/>
              <w:suppressAutoHyphens w:val="0"/>
              <w:contextualSpacing/>
              <w:jc w:val="right"/>
              <w:rPr>
                <w:rFonts w:eastAsia="Times New Roman" w:cs="Times New Roman"/>
                <w:kern w:val="0"/>
                <w:lang w:eastAsia="en-US" w:bidi="ar-SA"/>
              </w:rPr>
            </w:pP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u w:val="single"/>
                <w:lang w:eastAsia="en-US" w:bidi="ar-SA"/>
              </w:rPr>
            </w:pPr>
            <w:r w:rsidRPr="008848FD">
              <w:rPr>
                <w:rFonts w:eastAsia="Times New Roman" w:cs="Times New Roman"/>
                <w:kern w:val="0"/>
                <w:u w:val="single"/>
                <w:lang w:eastAsia="en-US" w:bidi="ar-SA"/>
              </w:rPr>
              <w:t>1988</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u w:val="single"/>
                <w:lang w:eastAsia="en-US" w:bidi="ar-SA"/>
              </w:rPr>
            </w:pPr>
            <w:r w:rsidRPr="008848FD">
              <w:rPr>
                <w:rFonts w:eastAsia="Times New Roman" w:cs="Times New Roman"/>
                <w:kern w:val="0"/>
                <w:u w:val="single"/>
                <w:lang w:eastAsia="en-US" w:bidi="ar-SA"/>
              </w:rPr>
              <w:t>1992</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u w:val="single"/>
                <w:lang w:eastAsia="en-US" w:bidi="ar-SA"/>
              </w:rPr>
            </w:pPr>
            <w:r w:rsidRPr="008848FD">
              <w:rPr>
                <w:rFonts w:eastAsia="Times New Roman" w:cs="Times New Roman"/>
                <w:kern w:val="0"/>
                <w:u w:val="single"/>
                <w:lang w:eastAsia="en-US" w:bidi="ar-SA"/>
              </w:rPr>
              <w:t>2000</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u w:val="single"/>
                <w:lang w:eastAsia="en-US" w:bidi="ar-SA"/>
              </w:rPr>
            </w:pPr>
            <w:r w:rsidRPr="008848FD">
              <w:rPr>
                <w:rFonts w:eastAsia="Times New Roman" w:cs="Times New Roman"/>
                <w:kern w:val="0"/>
                <w:u w:val="single"/>
                <w:lang w:eastAsia="en-US" w:bidi="ar-SA"/>
              </w:rPr>
              <w:t>2004</w:t>
            </w:r>
          </w:p>
        </w:tc>
        <w:tc>
          <w:tcPr>
            <w:tcW w:w="1771"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center"/>
              <w:rPr>
                <w:rFonts w:eastAsia="Times New Roman" w:cs="Times New Roman"/>
                <w:kern w:val="0"/>
                <w:u w:val="single"/>
                <w:lang w:eastAsia="en-US" w:bidi="ar-SA"/>
              </w:rPr>
            </w:pPr>
            <w:r w:rsidRPr="008848FD">
              <w:rPr>
                <w:rFonts w:eastAsia="Times New Roman" w:cs="Times New Roman"/>
                <w:kern w:val="0"/>
                <w:u w:val="single"/>
                <w:lang w:eastAsia="en-US" w:bidi="ar-SA"/>
              </w:rPr>
              <w:t>2007</w:t>
            </w:r>
          </w:p>
        </w:tc>
      </w:tr>
      <w:tr w:rsidR="00204F41" w:rsidRPr="008848FD" w:rsidTr="000E234D">
        <w:trPr>
          <w:trHeight w:val="255"/>
        </w:trPr>
        <w:tc>
          <w:tcPr>
            <w:tcW w:w="2009" w:type="dxa"/>
            <w:tcBorders>
              <w:top w:val="nil"/>
              <w:left w:val="nil"/>
              <w:bottom w:val="nil"/>
              <w:right w:val="nil"/>
            </w:tcBorders>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Investment share</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58%</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47%</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88%</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28%</w:t>
            </w:r>
          </w:p>
        </w:tc>
        <w:tc>
          <w:tcPr>
            <w:tcW w:w="1771" w:type="dxa"/>
            <w:tcBorders>
              <w:top w:val="nil"/>
              <w:left w:val="nil"/>
              <w:bottom w:val="nil"/>
              <w:right w:val="nil"/>
            </w:tcBorders>
            <w:shd w:val="clear" w:color="auto" w:fill="auto"/>
            <w:noWrap/>
            <w:vAlign w:val="bottom"/>
            <w:hideMark/>
          </w:tcPr>
          <w:p w:rsidR="00204F41" w:rsidRPr="008848FD" w:rsidRDefault="00C8353B" w:rsidP="004A6F82">
            <w:pPr>
              <w:widowControl/>
              <w:suppressAutoHyphens w:val="0"/>
              <w:contextualSpacing/>
              <w:jc w:val="center"/>
              <w:rPr>
                <w:rFonts w:eastAsia="Times New Roman" w:cs="Times New Roman"/>
                <w:kern w:val="0"/>
                <w:lang w:eastAsia="en-US" w:bidi="ar-SA"/>
              </w:rPr>
            </w:pPr>
            <w:r w:rsidRPr="008848FD">
              <w:rPr>
                <w:rFonts w:eastAsia="Times New Roman" w:cs="Times New Roman"/>
                <w:kern w:val="0"/>
                <w:lang w:eastAsia="en-US" w:bidi="ar-SA"/>
              </w:rPr>
              <w:t xml:space="preserve"> </w:t>
            </w:r>
            <w:r w:rsidR="00204F41" w:rsidRPr="008848FD">
              <w:rPr>
                <w:rFonts w:eastAsia="Times New Roman" w:cs="Times New Roman"/>
                <w:kern w:val="0"/>
                <w:lang w:eastAsia="en-US" w:bidi="ar-SA"/>
              </w:rPr>
              <w:t>54%</w:t>
            </w:r>
          </w:p>
        </w:tc>
      </w:tr>
      <w:tr w:rsidR="00204F41" w:rsidRPr="008848FD" w:rsidTr="000E234D">
        <w:trPr>
          <w:trHeight w:val="255"/>
        </w:trPr>
        <w:tc>
          <w:tcPr>
            <w:tcW w:w="2009" w:type="dxa"/>
            <w:tcBorders>
              <w:top w:val="nil"/>
              <w:left w:val="nil"/>
              <w:bottom w:val="nil"/>
              <w:right w:val="nil"/>
            </w:tcBorders>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Dividend share</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34%</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47%</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75%</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60%</w:t>
            </w:r>
          </w:p>
        </w:tc>
        <w:tc>
          <w:tcPr>
            <w:tcW w:w="1771" w:type="dxa"/>
            <w:tcBorders>
              <w:top w:val="nil"/>
              <w:left w:val="nil"/>
              <w:bottom w:val="nil"/>
              <w:right w:val="nil"/>
            </w:tcBorders>
            <w:shd w:val="clear" w:color="auto" w:fill="auto"/>
            <w:noWrap/>
            <w:vAlign w:val="bottom"/>
            <w:hideMark/>
          </w:tcPr>
          <w:p w:rsidR="00204F41" w:rsidRPr="008848FD" w:rsidRDefault="00C8353B" w:rsidP="004A6F82">
            <w:pPr>
              <w:widowControl/>
              <w:suppressAutoHyphens w:val="0"/>
              <w:contextualSpacing/>
              <w:jc w:val="center"/>
              <w:rPr>
                <w:rFonts w:eastAsia="Times New Roman" w:cs="Times New Roman"/>
                <w:kern w:val="0"/>
                <w:lang w:eastAsia="en-US" w:bidi="ar-SA"/>
              </w:rPr>
            </w:pPr>
            <w:r w:rsidRPr="008848FD">
              <w:rPr>
                <w:rFonts w:eastAsia="Times New Roman" w:cs="Times New Roman"/>
                <w:kern w:val="0"/>
                <w:lang w:eastAsia="en-US" w:bidi="ar-SA"/>
              </w:rPr>
              <w:t xml:space="preserve"> </w:t>
            </w:r>
            <w:r w:rsidR="00204F41" w:rsidRPr="008848FD">
              <w:rPr>
                <w:rFonts w:eastAsia="Times New Roman" w:cs="Times New Roman"/>
                <w:kern w:val="0"/>
                <w:lang w:eastAsia="en-US" w:bidi="ar-SA"/>
              </w:rPr>
              <w:t>76%</w:t>
            </w:r>
          </w:p>
        </w:tc>
      </w:tr>
      <w:tr w:rsidR="00204F41" w:rsidRPr="008848FD" w:rsidTr="000E234D">
        <w:trPr>
          <w:trHeight w:val="255"/>
        </w:trPr>
        <w:tc>
          <w:tcPr>
            <w:tcW w:w="2009" w:type="dxa"/>
            <w:tcBorders>
              <w:top w:val="nil"/>
              <w:left w:val="nil"/>
              <w:bottom w:val="nil"/>
              <w:right w:val="nil"/>
            </w:tcBorders>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Borrowing share</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–9%</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–6%</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63%</w:t>
            </w:r>
          </w:p>
        </w:tc>
        <w:tc>
          <w:tcPr>
            <w:tcW w:w="1242" w:type="dxa"/>
            <w:tcBorders>
              <w:top w:val="nil"/>
              <w:left w:val="nil"/>
              <w:bottom w:val="nil"/>
              <w:right w:val="nil"/>
            </w:tcBorders>
            <w:shd w:val="clear" w:color="auto" w:fill="auto"/>
            <w:noWrap/>
            <w:vAlign w:val="bottom"/>
            <w:hideMark/>
          </w:tcPr>
          <w:p w:rsidR="00204F41" w:rsidRPr="008848FD" w:rsidRDefault="00204F41" w:rsidP="004A6F82">
            <w:pPr>
              <w:widowControl/>
              <w:suppressAutoHyphens w:val="0"/>
              <w:contextualSpacing/>
              <w:jc w:val="right"/>
              <w:rPr>
                <w:rFonts w:eastAsia="Times New Roman" w:cs="Times New Roman"/>
                <w:kern w:val="0"/>
                <w:lang w:eastAsia="en-US" w:bidi="ar-SA"/>
              </w:rPr>
            </w:pPr>
            <w:r w:rsidRPr="008848FD">
              <w:rPr>
                <w:rFonts w:eastAsia="Times New Roman" w:cs="Times New Roman"/>
                <w:kern w:val="0"/>
                <w:lang w:eastAsia="en-US" w:bidi="ar-SA"/>
              </w:rPr>
              <w:t>–12%</w:t>
            </w:r>
          </w:p>
        </w:tc>
        <w:tc>
          <w:tcPr>
            <w:tcW w:w="1771" w:type="dxa"/>
            <w:tcBorders>
              <w:top w:val="nil"/>
              <w:left w:val="nil"/>
              <w:bottom w:val="nil"/>
              <w:right w:val="nil"/>
            </w:tcBorders>
            <w:shd w:val="clear" w:color="auto" w:fill="auto"/>
            <w:noWrap/>
            <w:vAlign w:val="bottom"/>
            <w:hideMark/>
          </w:tcPr>
          <w:p w:rsidR="00204F41" w:rsidRPr="008848FD" w:rsidRDefault="00C8353B" w:rsidP="004A6F82">
            <w:pPr>
              <w:widowControl/>
              <w:suppressAutoHyphens w:val="0"/>
              <w:contextualSpacing/>
              <w:jc w:val="center"/>
              <w:rPr>
                <w:rFonts w:eastAsia="Times New Roman" w:cs="Times New Roman"/>
                <w:kern w:val="0"/>
                <w:lang w:eastAsia="en-US" w:bidi="ar-SA"/>
              </w:rPr>
            </w:pPr>
            <w:r w:rsidRPr="008848FD">
              <w:rPr>
                <w:rFonts w:eastAsia="Times New Roman" w:cs="Times New Roman"/>
                <w:kern w:val="0"/>
                <w:lang w:eastAsia="en-US" w:bidi="ar-SA"/>
              </w:rPr>
              <w:t xml:space="preserve"> </w:t>
            </w:r>
            <w:r w:rsidR="00204F41" w:rsidRPr="008848FD">
              <w:rPr>
                <w:rFonts w:eastAsia="Times New Roman" w:cs="Times New Roman"/>
                <w:kern w:val="0"/>
                <w:lang w:eastAsia="en-US" w:bidi="ar-SA"/>
              </w:rPr>
              <w:t>30%</w:t>
            </w:r>
          </w:p>
        </w:tc>
      </w:tr>
    </w:tbl>
    <w:p w:rsidR="00204F41" w:rsidRDefault="00204F41" w:rsidP="00C52483">
      <w:pPr>
        <w:pStyle w:val="BodyText"/>
        <w:widowControl/>
        <w:suppressAutoHyphens w:val="0"/>
        <w:spacing w:after="0" w:line="720" w:lineRule="auto"/>
        <w:contextualSpacing/>
        <w:rPr>
          <w:rFonts w:cs="Times New Roman"/>
        </w:rPr>
      </w:pPr>
    </w:p>
    <w:p w:rsidR="001F3961" w:rsidRPr="00B57FCF" w:rsidRDefault="002F161B" w:rsidP="00C52483">
      <w:pPr>
        <w:pStyle w:val="BodyText"/>
        <w:widowControl/>
        <w:suppressAutoHyphens w:val="0"/>
        <w:spacing w:after="0" w:line="480" w:lineRule="auto"/>
        <w:rPr>
          <w:rFonts w:cs="Times New Roman"/>
        </w:rPr>
      </w:pPr>
      <w:r>
        <w:rPr>
          <w:rFonts w:cs="Times New Roman"/>
        </w:rPr>
        <w:tab/>
      </w:r>
      <w:r w:rsidR="001F3961">
        <w:rPr>
          <w:rFonts w:cs="Times New Roman"/>
        </w:rPr>
        <w:t>The strong association between productive investment and borrowing demands that we reconsider the</w:t>
      </w:r>
      <w:r w:rsidR="001F3961">
        <w:rPr>
          <w:rFonts w:eastAsia="Times New Roman" w:cs="Times New Roman"/>
          <w:kern w:val="0"/>
          <w:lang w:eastAsia="en-US" w:bidi="ar-SA"/>
        </w:rPr>
        <w:t xml:space="preserve"> </w:t>
      </w:r>
      <w:r w:rsidR="001F3961">
        <w:rPr>
          <w:rFonts w:cs="Times New Roman"/>
        </w:rPr>
        <w:t xml:space="preserve">typical fashion in which the relationship between financial payouts and investment is depicted. </w:t>
      </w:r>
      <w:r w:rsidR="001F3961" w:rsidRPr="00B57FCF">
        <w:rPr>
          <w:rFonts w:cs="Times New Roman"/>
        </w:rPr>
        <w:t>T</w:t>
      </w:r>
      <w:r w:rsidR="001F3961">
        <w:rPr>
          <w:rFonts w:cs="Times New Roman"/>
        </w:rPr>
        <w:t xml:space="preserve">he manner in which this relationship </w:t>
      </w:r>
      <w:r w:rsidR="001F3961" w:rsidRPr="00B57FCF">
        <w:rPr>
          <w:rFonts w:cs="Times New Roman"/>
        </w:rPr>
        <w:t>is discussed sometimes seems to give readers the impression that if an additional dollar of profit is distributed as dividends, productive investment must necessarily be reduced by a dollar. For instance,</w:t>
      </w:r>
      <w:r w:rsidR="001F3961" w:rsidRPr="00B57FCF">
        <w:rPr>
          <w:rFonts w:eastAsia="Times New Roman" w:cs="Times New Roman"/>
          <w:kern w:val="0"/>
          <w:lang w:eastAsia="en-US" w:bidi="ar-SA"/>
        </w:rPr>
        <w:t xml:space="preserve"> </w:t>
      </w:r>
      <w:r w:rsidR="001F3961" w:rsidRPr="000E234D">
        <w:rPr>
          <w:rFonts w:eastAsia="Times New Roman" w:cs="Times New Roman"/>
          <w:kern w:val="0"/>
          <w:lang w:eastAsia="en-US" w:bidi="ar-SA"/>
        </w:rPr>
        <w:t>Dum</w:t>
      </w:r>
      <w:r w:rsidR="001F3961">
        <w:rPr>
          <w:rFonts w:eastAsia="Times New Roman" w:cs="Times New Roman"/>
          <w:kern w:val="0"/>
          <w:lang w:eastAsia="en-US" w:bidi="ar-SA"/>
        </w:rPr>
        <w:t>é</w:t>
      </w:r>
      <w:r w:rsidR="001F3961" w:rsidRPr="000E234D">
        <w:rPr>
          <w:rFonts w:eastAsia="Times New Roman" w:cs="Times New Roman"/>
          <w:kern w:val="0"/>
          <w:lang w:eastAsia="en-US" w:bidi="ar-SA"/>
        </w:rPr>
        <w:t>nil and L</w:t>
      </w:r>
      <w:r w:rsidR="001F3961">
        <w:rPr>
          <w:rFonts w:eastAsia="Times New Roman" w:cs="Times New Roman"/>
          <w:kern w:val="0"/>
          <w:lang w:eastAsia="en-US" w:bidi="ar-SA"/>
        </w:rPr>
        <w:t>é</w:t>
      </w:r>
      <w:r w:rsidR="001F3961" w:rsidRPr="006272C1">
        <w:rPr>
          <w:rFonts w:eastAsia="Times New Roman" w:cs="Times New Roman"/>
          <w:kern w:val="0"/>
          <w:lang w:eastAsia="en-US" w:bidi="ar-SA"/>
        </w:rPr>
        <w:t>vy</w:t>
      </w:r>
      <w:r w:rsidR="001F3961" w:rsidRPr="000E234D">
        <w:rPr>
          <w:rFonts w:eastAsia="Times New Roman" w:cs="Times New Roman"/>
          <w:kern w:val="0"/>
          <w:lang w:eastAsia="en-US" w:bidi="ar-SA"/>
        </w:rPr>
        <w:t xml:space="preserve"> (2011</w:t>
      </w:r>
      <w:r w:rsidR="001F3961">
        <w:rPr>
          <w:rFonts w:eastAsia="Times New Roman" w:cs="Times New Roman"/>
          <w:kern w:val="0"/>
          <w:lang w:eastAsia="en-US" w:bidi="ar-SA"/>
        </w:rPr>
        <w:t xml:space="preserve">, p. </w:t>
      </w:r>
      <w:r w:rsidR="001F3961" w:rsidRPr="000E234D">
        <w:rPr>
          <w:rFonts w:eastAsia="Times New Roman" w:cs="Times New Roman"/>
          <w:kern w:val="0"/>
          <w:lang w:eastAsia="en-US" w:bidi="ar-SA"/>
        </w:rPr>
        <w:t>153</w:t>
      </w:r>
      <w:r w:rsidR="001F3961">
        <w:rPr>
          <w:rFonts w:eastAsia="Times New Roman" w:cs="Times New Roman"/>
          <w:kern w:val="0"/>
          <w:lang w:eastAsia="en-US" w:bidi="ar-SA"/>
        </w:rPr>
        <w:t>)</w:t>
      </w:r>
      <w:r w:rsidR="001F3961" w:rsidRPr="00B57FCF">
        <w:rPr>
          <w:rFonts w:cs="Times New Roman"/>
        </w:rPr>
        <w:t xml:space="preserve"> suggest that </w:t>
      </w:r>
      <w:r w:rsidR="0071600A">
        <w:rPr>
          <w:rFonts w:cs="Times New Roman"/>
        </w:rPr>
        <w:t>“</w:t>
      </w:r>
      <w:r w:rsidR="001F3961" w:rsidRPr="00B57FCF">
        <w:rPr>
          <w:rFonts w:cs="Times New Roman"/>
        </w:rPr>
        <w:t>corporations basically self-finance their investment. This ability depends on the rate at which they retain profits, that is, do not pay interest or distribute dividends. ... Retained profits condition accumulation.</w:t>
      </w:r>
      <w:r w:rsidR="0071600A">
        <w:rPr>
          <w:rFonts w:cs="Times New Roman"/>
        </w:rPr>
        <w:t>”</w:t>
      </w:r>
      <w:r w:rsidR="001F3961" w:rsidRPr="00B57FCF">
        <w:rPr>
          <w:rFonts w:cs="Times New Roman"/>
        </w:rPr>
        <w:t xml:space="preserve"> It is true that</w:t>
      </w:r>
      <w:r w:rsidR="001F3961">
        <w:rPr>
          <w:rFonts w:cs="Times New Roman"/>
        </w:rPr>
        <w:t xml:space="preserve">, </w:t>
      </w:r>
      <w:r w:rsidR="001F3961">
        <w:rPr>
          <w:rFonts w:cs="Times New Roman"/>
          <w:i/>
        </w:rPr>
        <w:t xml:space="preserve">on average, </w:t>
      </w:r>
      <w:r w:rsidR="001F3961">
        <w:rPr>
          <w:rFonts w:cs="Times New Roman"/>
        </w:rPr>
        <w:t xml:space="preserve">and </w:t>
      </w:r>
      <w:r w:rsidR="001F3961" w:rsidRPr="005E753B">
        <w:rPr>
          <w:rFonts w:cs="Times New Roman"/>
          <w:i/>
        </w:rPr>
        <w:t>over sufficiently long spans of time</w:t>
      </w:r>
      <w:r w:rsidR="001F3961">
        <w:rPr>
          <w:rFonts w:cs="Times New Roman"/>
        </w:rPr>
        <w:t xml:space="preserve">, </w:t>
      </w:r>
      <w:r w:rsidR="001F3961" w:rsidRPr="00B57FCF">
        <w:rPr>
          <w:rFonts w:cs="Times New Roman"/>
        </w:rPr>
        <w:t>the share of investment funded out of borrowing isn</w:t>
      </w:r>
      <w:r w:rsidR="0071600A">
        <w:rPr>
          <w:rFonts w:cs="Times New Roman"/>
        </w:rPr>
        <w:t>’</w:t>
      </w:r>
      <w:r w:rsidR="001F3961" w:rsidRPr="00B57FCF">
        <w:rPr>
          <w:rFonts w:cs="Times New Roman"/>
        </w:rPr>
        <w:t xml:space="preserve">t large, which may be what </w:t>
      </w:r>
      <w:r w:rsidR="001F3961" w:rsidRPr="000E234D">
        <w:rPr>
          <w:rFonts w:eastAsia="Times New Roman" w:cs="Times New Roman"/>
          <w:kern w:val="0"/>
          <w:lang w:eastAsia="en-US" w:bidi="ar-SA"/>
        </w:rPr>
        <w:t>Dum</w:t>
      </w:r>
      <w:r w:rsidR="001F3961">
        <w:rPr>
          <w:rFonts w:eastAsia="Times New Roman" w:cs="Times New Roman"/>
          <w:kern w:val="0"/>
          <w:lang w:eastAsia="en-US" w:bidi="ar-SA"/>
        </w:rPr>
        <w:t>é</w:t>
      </w:r>
      <w:r w:rsidR="001F3961" w:rsidRPr="000E234D">
        <w:rPr>
          <w:rFonts w:eastAsia="Times New Roman" w:cs="Times New Roman"/>
          <w:kern w:val="0"/>
          <w:lang w:eastAsia="en-US" w:bidi="ar-SA"/>
        </w:rPr>
        <w:t>nil and L</w:t>
      </w:r>
      <w:r w:rsidR="001F3961">
        <w:rPr>
          <w:rFonts w:eastAsia="Times New Roman" w:cs="Times New Roman"/>
          <w:kern w:val="0"/>
          <w:lang w:eastAsia="en-US" w:bidi="ar-SA"/>
        </w:rPr>
        <w:t>é</w:t>
      </w:r>
      <w:r w:rsidR="001F3961" w:rsidRPr="006272C1">
        <w:rPr>
          <w:rFonts w:eastAsia="Times New Roman" w:cs="Times New Roman"/>
          <w:kern w:val="0"/>
          <w:lang w:eastAsia="en-US" w:bidi="ar-SA"/>
        </w:rPr>
        <w:t>vy</w:t>
      </w:r>
      <w:r w:rsidR="001F3961" w:rsidRPr="000E234D">
        <w:rPr>
          <w:rFonts w:eastAsia="Times New Roman" w:cs="Times New Roman"/>
          <w:kern w:val="0"/>
          <w:lang w:eastAsia="en-US" w:bidi="ar-SA"/>
        </w:rPr>
        <w:t xml:space="preserve"> </w:t>
      </w:r>
      <w:r w:rsidR="001F3961" w:rsidRPr="00B57FCF">
        <w:rPr>
          <w:rFonts w:cs="Times New Roman"/>
        </w:rPr>
        <w:t>mean by corporations</w:t>
      </w:r>
      <w:r w:rsidR="0071600A">
        <w:rPr>
          <w:rFonts w:cs="Times New Roman"/>
        </w:rPr>
        <w:t>’</w:t>
      </w:r>
      <w:r w:rsidR="001F3961" w:rsidRPr="00B57FCF">
        <w:rPr>
          <w:rFonts w:cs="Times New Roman"/>
        </w:rPr>
        <w:t xml:space="preserve"> </w:t>
      </w:r>
      <w:r w:rsidR="0071600A">
        <w:rPr>
          <w:rFonts w:cs="Times New Roman"/>
        </w:rPr>
        <w:t>“</w:t>
      </w:r>
      <w:r w:rsidR="001F3961" w:rsidRPr="00B57FCF">
        <w:rPr>
          <w:rFonts w:cs="Times New Roman"/>
        </w:rPr>
        <w:t>basically self-financ[ing] their investment.</w:t>
      </w:r>
      <w:r w:rsidR="0071600A">
        <w:rPr>
          <w:rFonts w:cs="Times New Roman"/>
        </w:rPr>
        <w:t>”</w:t>
      </w:r>
      <w:r w:rsidR="001F3961" w:rsidRPr="00B57FCF">
        <w:rPr>
          <w:rFonts w:cs="Times New Roman"/>
        </w:rPr>
        <w:t xml:space="preserve"> It is also true that, if corporations did not borrow </w:t>
      </w:r>
      <w:r w:rsidR="001F3961" w:rsidRPr="005E753B">
        <w:rPr>
          <w:rFonts w:cs="Times New Roman"/>
          <w:i/>
        </w:rPr>
        <w:t>at all</w:t>
      </w:r>
      <w:r w:rsidR="001F3961" w:rsidRPr="00B57FCF">
        <w:rPr>
          <w:rFonts w:cs="Times New Roman"/>
        </w:rPr>
        <w:t xml:space="preserve">, their ability to invest would depend entirely on the degree to which they do not pay interest or distribute dividends. However, it is not true that corporations are unable to invest more than the profit they have retained after paying interest and dividends. Nor do </w:t>
      </w:r>
      <w:r w:rsidR="001F3961" w:rsidRPr="000E234D">
        <w:rPr>
          <w:rFonts w:eastAsia="Times New Roman" w:cs="Times New Roman"/>
          <w:kern w:val="0"/>
          <w:lang w:eastAsia="en-US" w:bidi="ar-SA"/>
        </w:rPr>
        <w:t>Dum</w:t>
      </w:r>
      <w:r w:rsidR="001F3961">
        <w:rPr>
          <w:rFonts w:eastAsia="Times New Roman" w:cs="Times New Roman"/>
          <w:kern w:val="0"/>
          <w:lang w:eastAsia="en-US" w:bidi="ar-SA"/>
        </w:rPr>
        <w:t>é</w:t>
      </w:r>
      <w:r w:rsidR="001F3961" w:rsidRPr="000E234D">
        <w:rPr>
          <w:rFonts w:eastAsia="Times New Roman" w:cs="Times New Roman"/>
          <w:kern w:val="0"/>
          <w:lang w:eastAsia="en-US" w:bidi="ar-SA"/>
        </w:rPr>
        <w:t>nil and L</w:t>
      </w:r>
      <w:r w:rsidR="001F3961">
        <w:rPr>
          <w:rFonts w:eastAsia="Times New Roman" w:cs="Times New Roman"/>
          <w:kern w:val="0"/>
          <w:lang w:eastAsia="en-US" w:bidi="ar-SA"/>
        </w:rPr>
        <w:t>é</w:t>
      </w:r>
      <w:r w:rsidR="001F3961" w:rsidRPr="006272C1">
        <w:rPr>
          <w:rFonts w:eastAsia="Times New Roman" w:cs="Times New Roman"/>
          <w:kern w:val="0"/>
          <w:lang w:eastAsia="en-US" w:bidi="ar-SA"/>
        </w:rPr>
        <w:t>vy</w:t>
      </w:r>
      <w:r w:rsidR="001F3961" w:rsidRPr="000E234D">
        <w:rPr>
          <w:rFonts w:eastAsia="Times New Roman" w:cs="Times New Roman"/>
          <w:kern w:val="0"/>
          <w:lang w:eastAsia="en-US" w:bidi="ar-SA"/>
        </w:rPr>
        <w:t xml:space="preserve"> </w:t>
      </w:r>
      <w:r w:rsidR="001F3961" w:rsidRPr="00B57FCF">
        <w:rPr>
          <w:rFonts w:cs="Times New Roman"/>
        </w:rPr>
        <w:t>actually state that corporations are unable to invest more than their retained profits. On the contrary, they acknowledge that productive investment greatly exceeded retained earnings in t</w:t>
      </w:r>
      <w:r w:rsidR="001F3961">
        <w:rPr>
          <w:rFonts w:cs="Times New Roman"/>
        </w:rPr>
        <w:t>he second half of the 1990s (</w:t>
      </w:r>
      <w:r w:rsidR="001F3961" w:rsidRPr="000E234D">
        <w:rPr>
          <w:rFonts w:eastAsia="Times New Roman" w:cs="Times New Roman"/>
          <w:kern w:val="0"/>
          <w:lang w:eastAsia="en-US" w:bidi="ar-SA"/>
        </w:rPr>
        <w:t>Dum</w:t>
      </w:r>
      <w:r w:rsidR="001F3961">
        <w:rPr>
          <w:rFonts w:eastAsia="Times New Roman" w:cs="Times New Roman"/>
          <w:kern w:val="0"/>
          <w:lang w:eastAsia="en-US" w:bidi="ar-SA"/>
        </w:rPr>
        <w:t>é</w:t>
      </w:r>
      <w:r w:rsidR="001F3961" w:rsidRPr="000E234D">
        <w:rPr>
          <w:rFonts w:eastAsia="Times New Roman" w:cs="Times New Roman"/>
          <w:kern w:val="0"/>
          <w:lang w:eastAsia="en-US" w:bidi="ar-SA"/>
        </w:rPr>
        <w:t>nil and L</w:t>
      </w:r>
      <w:r w:rsidR="001F3961">
        <w:rPr>
          <w:rFonts w:eastAsia="Times New Roman" w:cs="Times New Roman"/>
          <w:kern w:val="0"/>
          <w:lang w:eastAsia="en-US" w:bidi="ar-SA"/>
        </w:rPr>
        <w:t>é</w:t>
      </w:r>
      <w:r w:rsidR="001F3961" w:rsidRPr="006272C1">
        <w:rPr>
          <w:rFonts w:eastAsia="Times New Roman" w:cs="Times New Roman"/>
          <w:kern w:val="0"/>
          <w:lang w:eastAsia="en-US" w:bidi="ar-SA"/>
        </w:rPr>
        <w:t>vy</w:t>
      </w:r>
      <w:r w:rsidR="001F3961">
        <w:rPr>
          <w:rFonts w:eastAsia="Times New Roman" w:cs="Times New Roman"/>
          <w:kern w:val="0"/>
          <w:lang w:eastAsia="en-US" w:bidi="ar-SA"/>
        </w:rPr>
        <w:t xml:space="preserve"> 2011,</w:t>
      </w:r>
      <w:r w:rsidR="001F3961" w:rsidRPr="00B57FCF">
        <w:rPr>
          <w:rFonts w:cs="Times New Roman"/>
        </w:rPr>
        <w:t xml:space="preserve"> p. 153-54).</w:t>
      </w:r>
    </w:p>
    <w:p w:rsidR="001F3961" w:rsidRPr="000E234D" w:rsidRDefault="001F3961" w:rsidP="00C52483">
      <w:pPr>
        <w:widowControl/>
        <w:suppressAutoHyphens w:val="0"/>
        <w:spacing w:line="480" w:lineRule="auto"/>
        <w:contextualSpacing/>
        <w:rPr>
          <w:rFonts w:cs="Times New Roman"/>
        </w:rPr>
      </w:pPr>
    </w:p>
    <w:p w:rsidR="006B4C3B" w:rsidRDefault="006B4C3B" w:rsidP="00C52483">
      <w:pPr>
        <w:widowControl/>
        <w:suppressAutoHyphens w:val="0"/>
        <w:spacing w:line="480" w:lineRule="auto"/>
        <w:contextualSpacing/>
        <w:rPr>
          <w:rFonts w:cs="Times New Roman"/>
          <w:b/>
        </w:rPr>
      </w:pPr>
    </w:p>
    <w:p w:rsidR="001F3961" w:rsidRDefault="001F3961" w:rsidP="00C52483">
      <w:pPr>
        <w:widowControl/>
        <w:suppressAutoHyphens w:val="0"/>
        <w:spacing w:line="480" w:lineRule="auto"/>
        <w:contextualSpacing/>
        <w:rPr>
          <w:rFonts w:cs="Times New Roman"/>
          <w:b/>
        </w:rPr>
      </w:pPr>
    </w:p>
    <w:p w:rsidR="008D5ED9" w:rsidRPr="00F41C5F" w:rsidRDefault="00F41C5F" w:rsidP="00C52483">
      <w:pPr>
        <w:widowControl/>
        <w:suppressAutoHyphens w:val="0"/>
        <w:spacing w:line="480" w:lineRule="auto"/>
        <w:contextualSpacing/>
        <w:jc w:val="center"/>
        <w:rPr>
          <w:rFonts w:cs="Times New Roman"/>
          <w:b/>
        </w:rPr>
      </w:pPr>
      <w:r w:rsidRPr="00AF61BB">
        <w:rPr>
          <w:rFonts w:cs="Times New Roman"/>
          <w:b/>
        </w:rPr>
        <w:lastRenderedPageBreak/>
        <w:t xml:space="preserve">4. </w:t>
      </w:r>
      <w:r w:rsidR="00E17EE3" w:rsidRPr="00F41C5F">
        <w:rPr>
          <w:rFonts w:cs="Times New Roman"/>
          <w:b/>
        </w:rPr>
        <w:t>Trends in Productive Investment as a Share of Profit</w:t>
      </w:r>
    </w:p>
    <w:p w:rsidR="00EC4F87" w:rsidRPr="008848FD" w:rsidRDefault="00EC4F87" w:rsidP="00C52483">
      <w:pPr>
        <w:widowControl/>
        <w:suppressAutoHyphens w:val="0"/>
        <w:spacing w:line="480" w:lineRule="auto"/>
        <w:contextualSpacing/>
        <w:rPr>
          <w:rFonts w:cs="Times New Roman"/>
        </w:rPr>
      </w:pPr>
      <w:r w:rsidRPr="00A737A7">
        <w:rPr>
          <w:rFonts w:cs="Times New Roman"/>
        </w:rPr>
        <w:t>More importantly, as we shall discuss presently, the share of U.S. corporations</w:t>
      </w:r>
      <w:r w:rsidR="0071600A">
        <w:rPr>
          <w:rFonts w:cs="Times New Roman"/>
        </w:rPr>
        <w:t>’</w:t>
      </w:r>
      <w:r w:rsidRPr="00A737A7">
        <w:rPr>
          <w:rFonts w:cs="Times New Roman"/>
        </w:rPr>
        <w:t xml:space="preserve"> profit that was productively invested was actually greater during the first two decades of neoliberalism than during the period that preceded it. It was also greater during the neoliberal period as a whole once we control for the substantial rise in the rate of depreciation. These findings directly contradict other authors</w:t>
      </w:r>
      <w:r w:rsidR="0071600A">
        <w:rPr>
          <w:rFonts w:cs="Times New Roman"/>
        </w:rPr>
        <w:t>’</w:t>
      </w:r>
      <w:r w:rsidRPr="00A737A7">
        <w:rPr>
          <w:rFonts w:cs="Times New Roman"/>
        </w:rPr>
        <w:t xml:space="preserve"> (e.g., </w:t>
      </w:r>
      <w:r w:rsidRPr="008848FD">
        <w:rPr>
          <w:rFonts w:cs="Times New Roman"/>
        </w:rPr>
        <w:t>Husson 2008</w:t>
      </w:r>
      <w:r w:rsidR="00D50F4E">
        <w:rPr>
          <w:rFonts w:cs="Times New Roman"/>
        </w:rPr>
        <w:t>;</w:t>
      </w:r>
      <w:r w:rsidRPr="008848FD">
        <w:rPr>
          <w:rFonts w:cs="Times New Roman"/>
        </w:rPr>
        <w:t xml:space="preserve"> Stockhammer 2009) claim that the investment share fell as a result of financialization and/or neoliberalism.</w:t>
      </w:r>
    </w:p>
    <w:p w:rsidR="00EC4F87" w:rsidRPr="008848FD" w:rsidRDefault="002F161B" w:rsidP="00C52483">
      <w:pPr>
        <w:widowControl/>
        <w:suppressAutoHyphens w:val="0"/>
        <w:spacing w:line="480" w:lineRule="auto"/>
        <w:contextualSpacing/>
        <w:rPr>
          <w:rFonts w:cs="Times New Roman"/>
        </w:rPr>
      </w:pPr>
      <w:r>
        <w:rPr>
          <w:rFonts w:cs="Times New Roman"/>
        </w:rPr>
        <w:tab/>
      </w:r>
      <w:r w:rsidR="00EC4F87" w:rsidRPr="008848FD">
        <w:rPr>
          <w:rFonts w:cs="Times New Roman"/>
        </w:rPr>
        <w:t xml:space="preserve">Referring to the United States, the major economies of the European Union, and the European Union as a whole, Stockhammer (2009, p. 11) argued that </w:t>
      </w:r>
      <w:r w:rsidR="0071600A">
        <w:rPr>
          <w:rFonts w:cs="Times New Roman"/>
        </w:rPr>
        <w:t>“</w:t>
      </w:r>
      <w:r w:rsidR="00EC4F87" w:rsidRPr="008848FD">
        <w:rPr>
          <w:rFonts w:cs="Times New Roman"/>
        </w:rPr>
        <w:t>financialization has had a dampening effect on business investment, probably due to negative effects of shareholder value orientation and increased uncertainty.</w:t>
      </w:r>
      <w:r w:rsidR="0071600A">
        <w:rPr>
          <w:rFonts w:cs="Times New Roman"/>
        </w:rPr>
        <w:t>”</w:t>
      </w:r>
      <w:r w:rsidR="00EC4F87" w:rsidRPr="008848FD">
        <w:rPr>
          <w:rFonts w:cs="Times New Roman"/>
        </w:rPr>
        <w:t xml:space="preserve"> He based this conclusion on declining trends in the countries</w:t>
      </w:r>
      <w:r w:rsidR="0071600A">
        <w:rPr>
          <w:rFonts w:cs="Times New Roman"/>
        </w:rPr>
        <w:t>’</w:t>
      </w:r>
      <w:r w:rsidR="00EC4F87" w:rsidRPr="008848FD">
        <w:rPr>
          <w:rFonts w:cs="Times New Roman"/>
        </w:rPr>
        <w:t xml:space="preserve"> investment/profit ratios since the 1970s. However, there are two main reasons why his inference is invalid. First, although his conclusion pertains to </w:t>
      </w:r>
      <w:r w:rsidR="00EC4F87" w:rsidRPr="008848FD">
        <w:rPr>
          <w:rFonts w:cs="Times New Roman"/>
          <w:i/>
        </w:rPr>
        <w:t>business</w:t>
      </w:r>
      <w:r w:rsidR="00EC4F87" w:rsidRPr="008848FD">
        <w:rPr>
          <w:rFonts w:cs="Times New Roman"/>
        </w:rPr>
        <w:t xml:space="preserve"> investment, for some reason he computed ratios of investment (gross fixed capital formation) to </w:t>
      </w:r>
      <w:r w:rsidR="0071600A">
        <w:rPr>
          <w:rFonts w:cs="Times New Roman"/>
        </w:rPr>
        <w:t>“</w:t>
      </w:r>
      <w:r w:rsidR="00EC4F87" w:rsidRPr="008848FD">
        <w:rPr>
          <w:rFonts w:cs="Times New Roman"/>
        </w:rPr>
        <w:t>profit</w:t>
      </w:r>
      <w:r w:rsidR="0071600A">
        <w:rPr>
          <w:rFonts w:cs="Times New Roman"/>
        </w:rPr>
        <w:t>”</w:t>
      </w:r>
      <w:r w:rsidR="00EC4F87" w:rsidRPr="008848FD">
        <w:rPr>
          <w:rFonts w:cs="Times New Roman"/>
        </w:rPr>
        <w:t xml:space="preserve"> (gross operating surplus and mixed income) using data for the </w:t>
      </w:r>
      <w:r w:rsidR="00EC4F87" w:rsidRPr="008848FD">
        <w:rPr>
          <w:rFonts w:cs="Times New Roman"/>
          <w:i/>
        </w:rPr>
        <w:t>total</w:t>
      </w:r>
      <w:r w:rsidR="00EC4F87" w:rsidRPr="008848FD">
        <w:rPr>
          <w:rFonts w:cs="Times New Roman"/>
        </w:rPr>
        <w:t xml:space="preserve"> economy.</w:t>
      </w:r>
      <w:r w:rsidR="00EC4F87" w:rsidRPr="00A737A7">
        <w:rPr>
          <w:rStyle w:val="FootnoteReference"/>
          <w:rFonts w:cs="Times New Roman"/>
        </w:rPr>
        <w:footnoteReference w:id="15"/>
      </w:r>
      <w:r w:rsidR="00EC4F87" w:rsidRPr="00A737A7">
        <w:rPr>
          <w:rFonts w:cs="Times New Roman"/>
        </w:rPr>
        <w:t xml:space="preserve"> We computed the investment/profit ratio for the United States, using the same data source and the same variables that Stockhammer used, but restricting the focus to corporations only.</w:t>
      </w:r>
      <w:r w:rsidR="00E17EE3">
        <w:rPr>
          <w:rStyle w:val="FootnoteReference"/>
          <w:rFonts w:cs="Times New Roman"/>
        </w:rPr>
        <w:footnoteReference w:id="16"/>
      </w:r>
      <w:r w:rsidR="00EC4F87" w:rsidRPr="00A737A7">
        <w:rPr>
          <w:rFonts w:cs="Times New Roman"/>
        </w:rPr>
        <w:t xml:space="preserve"> </w:t>
      </w:r>
      <w:r w:rsidR="00EC4F87" w:rsidRPr="008848FD">
        <w:rPr>
          <w:rFonts w:cs="Times New Roman"/>
        </w:rPr>
        <w:t xml:space="preserve">The percentage decline in the ratio was reduced by more than half. </w:t>
      </w:r>
    </w:p>
    <w:p w:rsidR="00EC4F87" w:rsidRPr="008848FD" w:rsidRDefault="00EC4F87" w:rsidP="00C52483">
      <w:pPr>
        <w:pStyle w:val="FootnoteText"/>
        <w:widowControl/>
        <w:suppressLineNumbers w:val="0"/>
        <w:suppressAutoHyphens w:val="0"/>
        <w:spacing w:line="480" w:lineRule="auto"/>
        <w:ind w:left="0" w:firstLine="706"/>
        <w:contextualSpacing/>
        <w:rPr>
          <w:rFonts w:cs="Times New Roman"/>
          <w:sz w:val="24"/>
          <w:szCs w:val="24"/>
        </w:rPr>
      </w:pPr>
      <w:r w:rsidRPr="008848FD">
        <w:rPr>
          <w:rFonts w:cs="Times New Roman"/>
          <w:sz w:val="24"/>
          <w:szCs w:val="24"/>
        </w:rPr>
        <w:lastRenderedPageBreak/>
        <w:t>Second, even if we ignore Stockhammer</w:t>
      </w:r>
      <w:r w:rsidR="0071600A">
        <w:rPr>
          <w:rFonts w:cs="Times New Roman"/>
          <w:sz w:val="24"/>
          <w:szCs w:val="24"/>
        </w:rPr>
        <w:t>’</w:t>
      </w:r>
      <w:r w:rsidR="00CA4BEF">
        <w:rPr>
          <w:rFonts w:cs="Times New Roman"/>
          <w:sz w:val="24"/>
          <w:szCs w:val="24"/>
        </w:rPr>
        <w:t>s</w:t>
      </w:r>
      <w:r w:rsidRPr="008848FD">
        <w:rPr>
          <w:rFonts w:cs="Times New Roman"/>
          <w:sz w:val="24"/>
          <w:szCs w:val="24"/>
        </w:rPr>
        <w:t xml:space="preserve"> disregard</w:t>
      </w:r>
      <w:r w:rsidR="00CA4BEF">
        <w:rPr>
          <w:rFonts w:cs="Times New Roman"/>
          <w:sz w:val="24"/>
          <w:szCs w:val="24"/>
        </w:rPr>
        <w:t xml:space="preserve"> for</w:t>
      </w:r>
      <w:r w:rsidRPr="008848FD">
        <w:rPr>
          <w:rFonts w:cs="Times New Roman"/>
          <w:sz w:val="24"/>
          <w:szCs w:val="24"/>
        </w:rPr>
        <w:t xml:space="preserve"> other possible explanations of the decline in the investment/profit ratio, the time period he considered is far too short to enable him to attribute the decline to financialization. He contended that the </w:t>
      </w:r>
      <w:r w:rsidR="0071600A">
        <w:rPr>
          <w:rFonts w:cs="Times New Roman"/>
          <w:sz w:val="24"/>
          <w:szCs w:val="24"/>
        </w:rPr>
        <w:t>“</w:t>
      </w:r>
      <w:r w:rsidRPr="008848FD">
        <w:rPr>
          <w:rFonts w:cs="Times New Roman"/>
          <w:sz w:val="24"/>
          <w:szCs w:val="24"/>
        </w:rPr>
        <w:t>regime of accumulation</w:t>
      </w:r>
      <w:r w:rsidR="0071600A">
        <w:rPr>
          <w:rFonts w:cs="Times New Roman"/>
          <w:sz w:val="24"/>
          <w:szCs w:val="24"/>
        </w:rPr>
        <w:t>”</w:t>
      </w:r>
      <w:r w:rsidRPr="008848FD">
        <w:rPr>
          <w:rFonts w:cs="Times New Roman"/>
          <w:sz w:val="24"/>
          <w:szCs w:val="24"/>
        </w:rPr>
        <w:t xml:space="preserve"> that preceded the </w:t>
      </w:r>
      <w:r w:rsidR="0071600A">
        <w:rPr>
          <w:rFonts w:cs="Times New Roman"/>
          <w:sz w:val="24"/>
          <w:szCs w:val="24"/>
        </w:rPr>
        <w:t>“</w:t>
      </w:r>
      <w:r w:rsidRPr="008848FD">
        <w:rPr>
          <w:rFonts w:cs="Times New Roman"/>
          <w:sz w:val="24"/>
          <w:szCs w:val="24"/>
        </w:rPr>
        <w:t>finance-dominated</w:t>
      </w:r>
      <w:r w:rsidR="0071600A">
        <w:rPr>
          <w:rFonts w:cs="Times New Roman"/>
          <w:sz w:val="24"/>
          <w:szCs w:val="24"/>
        </w:rPr>
        <w:t>”</w:t>
      </w:r>
      <w:r w:rsidRPr="008848FD">
        <w:rPr>
          <w:rFonts w:cs="Times New Roman"/>
          <w:sz w:val="24"/>
          <w:szCs w:val="24"/>
        </w:rPr>
        <w:t xml:space="preserve"> regime </w:t>
      </w:r>
      <w:r w:rsidR="0071600A">
        <w:rPr>
          <w:rFonts w:cs="Times New Roman"/>
          <w:sz w:val="24"/>
          <w:szCs w:val="24"/>
        </w:rPr>
        <w:t>“</w:t>
      </w:r>
      <w:r w:rsidRPr="008848FD">
        <w:rPr>
          <w:rFonts w:cs="Times New Roman"/>
          <w:sz w:val="24"/>
          <w:szCs w:val="24"/>
        </w:rPr>
        <w:t>c[a]me to an end in the course of the 1970s</w:t>
      </w:r>
      <w:r w:rsidR="0071600A">
        <w:rPr>
          <w:rFonts w:cs="Times New Roman"/>
          <w:sz w:val="24"/>
          <w:szCs w:val="24"/>
        </w:rPr>
        <w:t>”</w:t>
      </w:r>
      <w:r w:rsidRPr="008848FD">
        <w:rPr>
          <w:rFonts w:cs="Times New Roman"/>
          <w:sz w:val="24"/>
          <w:szCs w:val="24"/>
        </w:rPr>
        <w:t xml:space="preserve"> (Stockhammer, p. 3). Thus, he tried to assess the effects of financialization by comparing post-financialization figures to a pre-financialization baseline that consists of a few years at most. There is no </w:t>
      </w:r>
      <w:r w:rsidRPr="008848FD">
        <w:rPr>
          <w:rFonts w:cs="Times New Roman"/>
          <w:i/>
          <w:sz w:val="24"/>
          <w:szCs w:val="24"/>
        </w:rPr>
        <w:t>a priori</w:t>
      </w:r>
      <w:r w:rsidRPr="008848FD">
        <w:rPr>
          <w:rFonts w:cs="Times New Roman"/>
          <w:sz w:val="24"/>
          <w:szCs w:val="24"/>
        </w:rPr>
        <w:t xml:space="preserve"> reason to believe that these few years were representative of the pre-financialization period, and thus no reason to believe that the investment/profit ratio was higher on average prior to the emergence of financialization. </w:t>
      </w:r>
    </w:p>
    <w:p w:rsidR="00EC4F87" w:rsidRPr="008848FD" w:rsidRDefault="002F161B" w:rsidP="00C52483">
      <w:pPr>
        <w:pStyle w:val="FootnoteText"/>
        <w:widowControl/>
        <w:suppressLineNumbers w:val="0"/>
        <w:suppressAutoHyphens w:val="0"/>
        <w:spacing w:line="480" w:lineRule="auto"/>
        <w:ind w:left="0" w:firstLine="0"/>
        <w:contextualSpacing/>
        <w:rPr>
          <w:rFonts w:cs="Times New Roman"/>
          <w:sz w:val="24"/>
          <w:szCs w:val="24"/>
        </w:rPr>
      </w:pPr>
      <w:r>
        <w:rPr>
          <w:rFonts w:cs="Times New Roman"/>
          <w:sz w:val="24"/>
          <w:szCs w:val="24"/>
        </w:rPr>
        <w:tab/>
      </w:r>
      <w:r w:rsidR="00EC4F87" w:rsidRPr="008848FD">
        <w:rPr>
          <w:rFonts w:cs="Times New Roman"/>
          <w:sz w:val="24"/>
          <w:szCs w:val="24"/>
        </w:rPr>
        <w:t xml:space="preserve">Similarly, Husson drew conclusions about the effect of neoliberalism on investment from a data series that provided no prior baseline information at all. In an attempt to defend his contention (in Husson 2008) that a distinctive neoliberal regime of accumulation emerged in the 1980s in which profit was diverted from productive investment to financial markets, Husson (2009, Graphique 7B) employed data for the U.S. only from the early 1980s onward. </w:t>
      </w:r>
    </w:p>
    <w:p w:rsidR="006B4C3B" w:rsidRPr="00532DB7" w:rsidRDefault="002F161B" w:rsidP="006B4C3B">
      <w:pPr>
        <w:pStyle w:val="FootnoteText"/>
        <w:widowControl/>
        <w:suppressLineNumbers w:val="0"/>
        <w:suppressAutoHyphens w:val="0"/>
        <w:spacing w:line="480" w:lineRule="auto"/>
        <w:ind w:left="0" w:firstLine="0"/>
        <w:contextualSpacing/>
        <w:rPr>
          <w:rFonts w:cs="Times New Roman"/>
          <w:sz w:val="24"/>
          <w:szCs w:val="24"/>
        </w:rPr>
      </w:pPr>
      <w:r>
        <w:rPr>
          <w:rFonts w:cs="Times New Roman"/>
          <w:sz w:val="24"/>
          <w:szCs w:val="24"/>
        </w:rPr>
        <w:tab/>
      </w:r>
      <w:r w:rsidR="00EC4F87" w:rsidRPr="00C52483">
        <w:rPr>
          <w:rFonts w:cs="Times New Roman"/>
          <w:sz w:val="24"/>
          <w:szCs w:val="24"/>
        </w:rPr>
        <w:t xml:space="preserve">Figure </w:t>
      </w:r>
      <w:r w:rsidR="00B80839">
        <w:rPr>
          <w:rFonts w:cs="Times New Roman"/>
          <w:sz w:val="24"/>
          <w:szCs w:val="24"/>
        </w:rPr>
        <w:t>10</w:t>
      </w:r>
      <w:r w:rsidR="00B80839" w:rsidRPr="00C52483">
        <w:rPr>
          <w:rFonts w:cs="Times New Roman"/>
          <w:sz w:val="24"/>
          <w:szCs w:val="24"/>
        </w:rPr>
        <w:t xml:space="preserve"> </w:t>
      </w:r>
      <w:r w:rsidR="00EC4F87" w:rsidRPr="00C52483">
        <w:rPr>
          <w:rFonts w:cs="Times New Roman"/>
          <w:sz w:val="24"/>
          <w:szCs w:val="24"/>
        </w:rPr>
        <w:t xml:space="preserve">shows the net investment share of profit, using four different measures of profit, relative to the average shares of the 1949–1971 period. Because the data suggest that changes in profit generally precede changes in investment, we computed the net investment of each year as a percentage of the profit that was obtained two years earlier. For this reason, the </w:t>
      </w:r>
      <w:r w:rsidR="006B4C3B" w:rsidRPr="00532DB7">
        <w:rPr>
          <w:rFonts w:cs="Times New Roman"/>
          <w:sz w:val="24"/>
          <w:szCs w:val="24"/>
        </w:rPr>
        <w:t xml:space="preserve">graph begins with 1949 rather than with 1947, the start of the post-World War II period. The graph makes clear that the 1970s were in no way representative of the pre-financialization period; the investment share skyrocketed during this decade. Hence, data series that begin with the 1970s or later do not allow us to draw valid conclusions about how financialization and neoliberalism have affected productive investment. </w:t>
      </w:r>
    </w:p>
    <w:p w:rsidR="008D15F8" w:rsidRDefault="008D15F8" w:rsidP="00C52483">
      <w:pPr>
        <w:pStyle w:val="FootnoteText"/>
        <w:rPr>
          <w:rFonts w:cs="Times New Roman"/>
          <w:b/>
        </w:rPr>
      </w:pPr>
    </w:p>
    <w:p w:rsidR="00EC4F87" w:rsidRPr="008848FD" w:rsidRDefault="00EC4F87" w:rsidP="00C52483">
      <w:pPr>
        <w:widowControl/>
        <w:suppressAutoHyphens w:val="0"/>
        <w:contextualSpacing/>
        <w:rPr>
          <w:rFonts w:cs="Times New Roman"/>
          <w:b/>
        </w:rPr>
      </w:pPr>
      <w:r w:rsidRPr="008848FD">
        <w:rPr>
          <w:rFonts w:cs="Times New Roman"/>
          <w:b/>
        </w:rPr>
        <w:lastRenderedPageBreak/>
        <w:t xml:space="preserve">Figure </w:t>
      </w:r>
      <w:r w:rsidR="00B80839">
        <w:rPr>
          <w:rFonts w:cs="Times New Roman"/>
          <w:b/>
        </w:rPr>
        <w:t>10</w:t>
      </w:r>
      <w:r w:rsidRPr="008848FD">
        <w:rPr>
          <w:rFonts w:cs="Times New Roman"/>
          <w:b/>
        </w:rPr>
        <w:t>. Investment Shares of Profit, U.S. Corporations</w:t>
      </w:r>
    </w:p>
    <w:p w:rsidR="00EC4F87" w:rsidRPr="008848FD" w:rsidRDefault="00EC4F87" w:rsidP="00C52483">
      <w:pPr>
        <w:widowControl/>
        <w:suppressAutoHyphens w:val="0"/>
        <w:contextualSpacing/>
        <w:rPr>
          <w:rFonts w:eastAsia="Times New Roman" w:cs="Times New Roman"/>
        </w:rPr>
      </w:pPr>
      <w:r w:rsidRPr="008848FD">
        <w:rPr>
          <w:rFonts w:eastAsia="Times New Roman" w:cs="Times New Roman"/>
        </w:rPr>
        <w:t>(as percentage</w:t>
      </w:r>
      <w:r w:rsidR="0065742D">
        <w:rPr>
          <w:rFonts w:eastAsia="Times New Roman" w:cs="Times New Roman"/>
        </w:rPr>
        <w:t>s</w:t>
      </w:r>
      <w:r w:rsidRPr="008848FD">
        <w:rPr>
          <w:rFonts w:eastAsia="Times New Roman" w:cs="Times New Roman"/>
        </w:rPr>
        <w:t xml:space="preserve"> of 1949–1971 average; net investment as percentage of profit two years earlier) </w:t>
      </w:r>
    </w:p>
    <w:p w:rsidR="00EC4F87" w:rsidRPr="00A737A7" w:rsidRDefault="00EC4F87" w:rsidP="00C52483">
      <w:pPr>
        <w:widowControl/>
        <w:suppressAutoHyphens w:val="0"/>
        <w:spacing w:line="480" w:lineRule="auto"/>
        <w:contextualSpacing/>
        <w:rPr>
          <w:rFonts w:cs="Times New Roman"/>
        </w:rPr>
      </w:pPr>
      <w:r w:rsidRPr="002C651F">
        <w:rPr>
          <w:rFonts w:cs="Times New Roman"/>
          <w:noProof/>
          <w:lang w:eastAsia="en-US" w:bidi="ar-SA"/>
        </w:rPr>
        <w:drawing>
          <wp:inline distT="0" distB="0" distL="0" distR="0" wp14:anchorId="7416ADC3" wp14:editId="2514FCB1">
            <wp:extent cx="5943600" cy="45243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4F87" w:rsidRPr="008848FD" w:rsidRDefault="00EC4F87" w:rsidP="00C52483">
      <w:pPr>
        <w:widowControl/>
        <w:suppressAutoHyphens w:val="0"/>
        <w:spacing w:line="720" w:lineRule="auto"/>
        <w:contextualSpacing/>
        <w:rPr>
          <w:rFonts w:cs="Times New Roman"/>
          <w:b/>
        </w:rPr>
      </w:pPr>
    </w:p>
    <w:p w:rsidR="00EC4F87" w:rsidRPr="008848FD" w:rsidRDefault="003B2B35" w:rsidP="00C52483">
      <w:pPr>
        <w:widowControl/>
        <w:suppressAutoHyphens w:val="0"/>
        <w:spacing w:line="480" w:lineRule="auto"/>
        <w:contextualSpacing/>
        <w:rPr>
          <w:rFonts w:cs="Times New Roman"/>
        </w:rPr>
      </w:pPr>
      <w:r>
        <w:rPr>
          <w:rFonts w:cs="Times New Roman"/>
        </w:rPr>
        <w:tab/>
      </w:r>
      <w:r w:rsidR="006B4C3B">
        <w:rPr>
          <w:rFonts w:cs="Times New Roman"/>
        </w:rPr>
        <w:t xml:space="preserve">It is clear from </w:t>
      </w:r>
      <w:r w:rsidR="00EC4F87" w:rsidRPr="008848FD">
        <w:rPr>
          <w:rFonts w:cs="Times New Roman"/>
        </w:rPr>
        <w:t xml:space="preserve">Figure </w:t>
      </w:r>
      <w:r w:rsidR="00B80839">
        <w:rPr>
          <w:rFonts w:cs="Times New Roman"/>
        </w:rPr>
        <w:t>10</w:t>
      </w:r>
      <w:r w:rsidR="00B80839" w:rsidRPr="008848FD">
        <w:rPr>
          <w:rFonts w:cs="Times New Roman"/>
        </w:rPr>
        <w:t xml:space="preserve"> </w:t>
      </w:r>
      <w:r w:rsidR="006B4C3B">
        <w:rPr>
          <w:rFonts w:cs="Times New Roman"/>
        </w:rPr>
        <w:t xml:space="preserve">that </w:t>
      </w:r>
      <w:r w:rsidR="00D01B6C">
        <w:rPr>
          <w:rFonts w:cs="Times New Roman"/>
        </w:rPr>
        <w:t xml:space="preserve">movements in the investment shares can be broken into four </w:t>
      </w:r>
      <w:r w:rsidR="00EC4F87" w:rsidRPr="00A737A7">
        <w:rPr>
          <w:rFonts w:cs="Times New Roman"/>
        </w:rPr>
        <w:t>quite distinct periods</w:t>
      </w:r>
      <w:r w:rsidR="00D01B6C">
        <w:rPr>
          <w:rFonts w:cs="Times New Roman"/>
        </w:rPr>
        <w:t xml:space="preserve">: </w:t>
      </w:r>
      <w:r w:rsidR="00EC4F87" w:rsidRPr="00A737A7">
        <w:rPr>
          <w:rFonts w:cs="Times New Roman"/>
        </w:rPr>
        <w:t>1949</w:t>
      </w:r>
      <w:r w:rsidR="00EC4F87" w:rsidRPr="008848FD">
        <w:rPr>
          <w:rFonts w:cs="Times New Roman"/>
        </w:rPr>
        <w:t>–1971, 1972–1985, 1986–2001, and 2002–2007. In order to discuss pre- and post-neoliberal eras, we can also split the second period into two su</w:t>
      </w:r>
      <w:r w:rsidR="00C93DFD">
        <w:rPr>
          <w:rFonts w:cs="Times New Roman"/>
        </w:rPr>
        <w:t>b</w:t>
      </w:r>
      <w:r w:rsidR="00EC4F87" w:rsidRPr="008848FD">
        <w:rPr>
          <w:rFonts w:cs="Times New Roman"/>
        </w:rPr>
        <w:t xml:space="preserve">periods, one that ends with 1980 and another that starts with 1981, the year in which Ronald Reagan became president. </w:t>
      </w:r>
    </w:p>
    <w:p w:rsidR="00EC4F87" w:rsidRPr="008848FD" w:rsidRDefault="00B80839" w:rsidP="00C52483">
      <w:pPr>
        <w:widowControl/>
        <w:suppressAutoHyphens w:val="0"/>
        <w:spacing w:line="480" w:lineRule="auto"/>
        <w:contextualSpacing/>
        <w:rPr>
          <w:rFonts w:cs="Times New Roman"/>
        </w:rPr>
      </w:pPr>
      <w:r>
        <w:rPr>
          <w:rFonts w:cs="Times New Roman"/>
        </w:rPr>
        <w:tab/>
      </w:r>
      <w:r w:rsidR="00EC4F87" w:rsidRPr="008848FD">
        <w:rPr>
          <w:rFonts w:cs="Times New Roman"/>
        </w:rPr>
        <w:t xml:space="preserve">Table </w:t>
      </w:r>
      <w:r>
        <w:rPr>
          <w:rFonts w:cs="Times New Roman"/>
        </w:rPr>
        <w:t>2</w:t>
      </w:r>
      <w:r w:rsidRPr="008848FD">
        <w:rPr>
          <w:rFonts w:cs="Times New Roman"/>
        </w:rPr>
        <w:t xml:space="preserve"> </w:t>
      </w:r>
      <w:r w:rsidR="00EC4F87" w:rsidRPr="008848FD">
        <w:rPr>
          <w:rFonts w:cs="Times New Roman"/>
        </w:rPr>
        <w:t xml:space="preserve">summarizes the data in terms of these periods. Through 2001, all four investment shares of profit during the neoliberal era were greater than or equal to the pre-neoliberal investment shares. Moreover, while the investment share did decline markedly after the early </w:t>
      </w:r>
      <w:r w:rsidR="00EC4F87" w:rsidRPr="008848FD">
        <w:rPr>
          <w:rFonts w:cs="Times New Roman"/>
        </w:rPr>
        <w:lastRenderedPageBreak/>
        <w:t xml:space="preserve">1980s, as Stockhammer and Husson found, this decline cannot be attributed to financialization or neoliberalism. One reason why it cannot is that the investment share of profit was unsustainably high at the start of the 1980s. Owing to a sharp decline in profitability, the (non-lagged) investment share of after-tax profit between 1979 and 1982 averaged 105%; corporations were investing more profit than the profit they had. Another reason is that </w:t>
      </w:r>
      <w:r w:rsidR="00EC4F87" w:rsidRPr="008848FD">
        <w:rPr>
          <w:rStyle w:val="shorttext"/>
          <w:rFonts w:cs="Times New Roman"/>
          <w:color w:val="000000" w:themeColor="text1"/>
          <w:shd w:val="clear" w:color="auto" w:fill="FFFFFF"/>
        </w:rPr>
        <w:t xml:space="preserve">neoliberalism and financialization did not cause the </w:t>
      </w:r>
      <w:r w:rsidR="00EC4F87" w:rsidRPr="008848FD">
        <w:rPr>
          <w:rFonts w:cs="Times New Roman"/>
        </w:rPr>
        <w:t xml:space="preserve">investment share to fall to below-normal levels. When </w:t>
      </w:r>
      <w:r w:rsidR="00015FA1">
        <w:rPr>
          <w:rStyle w:val="shorttext"/>
          <w:rFonts w:cs="Times New Roman"/>
          <w:color w:val="000000" w:themeColor="text1"/>
          <w:shd w:val="clear" w:color="auto" w:fill="FFFFFF"/>
        </w:rPr>
        <w:t>it</w:t>
      </w:r>
      <w:r w:rsidR="00EC4F87" w:rsidRPr="008848FD">
        <w:rPr>
          <w:rStyle w:val="shorttext"/>
          <w:rFonts w:cs="Times New Roman"/>
          <w:color w:val="000000" w:themeColor="text1"/>
          <w:shd w:val="clear" w:color="auto" w:fill="FFFFFF"/>
        </w:rPr>
        <w:t xml:space="preserve"> </w:t>
      </w:r>
      <w:r w:rsidR="00EC4F87" w:rsidRPr="008848FD">
        <w:rPr>
          <w:rFonts w:cs="Times New Roman"/>
        </w:rPr>
        <w:t xml:space="preserve">fell, it </w:t>
      </w:r>
      <w:r w:rsidR="00D01B6C">
        <w:rPr>
          <w:rFonts w:cs="Times New Roman"/>
        </w:rPr>
        <w:t xml:space="preserve">returned to </w:t>
      </w:r>
      <w:r w:rsidR="00EC4F87" w:rsidRPr="00A737A7">
        <w:rPr>
          <w:rStyle w:val="shorttext"/>
          <w:rFonts w:cs="Times New Roman"/>
          <w:color w:val="000000" w:themeColor="text1"/>
          <w:shd w:val="clear" w:color="auto" w:fill="FFFFFF"/>
        </w:rPr>
        <w:t xml:space="preserve">levels similar to those that were typical prior to 1972; </w:t>
      </w:r>
      <w:r w:rsidR="00EC4F87" w:rsidRPr="008848FD">
        <w:rPr>
          <w:rFonts w:cs="Times New Roman"/>
        </w:rPr>
        <w:t xml:space="preserve">during the 1986–2001 period, </w:t>
      </w:r>
      <w:r w:rsidR="00EC4F87" w:rsidRPr="008848FD">
        <w:rPr>
          <w:rStyle w:val="shorttext"/>
          <w:rFonts w:cs="Times New Roman"/>
          <w:color w:val="000000" w:themeColor="text1"/>
          <w:shd w:val="clear" w:color="auto" w:fill="FFFFFF"/>
        </w:rPr>
        <w:t>a</w:t>
      </w:r>
      <w:r w:rsidR="00EC4F87" w:rsidRPr="008848FD">
        <w:rPr>
          <w:rFonts w:cs="Times New Roman"/>
        </w:rPr>
        <w:t xml:space="preserve">ll four investment shares were greater than or equal to those of the 1949–1971 period. </w:t>
      </w:r>
    </w:p>
    <w:p w:rsidR="003B2B35" w:rsidRPr="008848FD" w:rsidRDefault="003B2B35" w:rsidP="00991CD8">
      <w:pPr>
        <w:widowControl/>
        <w:suppressAutoHyphens w:val="0"/>
        <w:spacing w:line="720" w:lineRule="auto"/>
        <w:contextualSpacing/>
        <w:rPr>
          <w:rFonts w:cs="Times New Roman"/>
        </w:rPr>
      </w:pPr>
    </w:p>
    <w:tbl>
      <w:tblPr>
        <w:tblW w:w="9375" w:type="dxa"/>
        <w:tblInd w:w="93" w:type="dxa"/>
        <w:tblLayout w:type="fixed"/>
        <w:tblLook w:val="04A0" w:firstRow="1" w:lastRow="0" w:firstColumn="1" w:lastColumn="0" w:noHBand="0" w:noVBand="1"/>
      </w:tblPr>
      <w:tblGrid>
        <w:gridCol w:w="1095"/>
        <w:gridCol w:w="920"/>
        <w:gridCol w:w="920"/>
        <w:gridCol w:w="920"/>
        <w:gridCol w:w="920"/>
        <w:gridCol w:w="920"/>
        <w:gridCol w:w="460"/>
        <w:gridCol w:w="460"/>
        <w:gridCol w:w="920"/>
        <w:gridCol w:w="920"/>
        <w:gridCol w:w="920"/>
      </w:tblGrid>
      <w:tr w:rsidR="00EC4F87" w:rsidRPr="008848FD" w:rsidTr="00EC4F87">
        <w:trPr>
          <w:trHeight w:val="180"/>
        </w:trPr>
        <w:tc>
          <w:tcPr>
            <w:tcW w:w="9375" w:type="dxa"/>
            <w:gridSpan w:val="11"/>
            <w:shd w:val="clear" w:color="auto" w:fill="auto"/>
            <w:noWrap/>
            <w:vAlign w:val="bottom"/>
          </w:tcPr>
          <w:p w:rsidR="00EC4F87" w:rsidRPr="008848FD" w:rsidRDefault="00EC4F87" w:rsidP="00991CD8">
            <w:pPr>
              <w:widowControl/>
              <w:suppressAutoHyphens w:val="0"/>
              <w:contextualSpacing/>
              <w:rPr>
                <w:rFonts w:eastAsia="Times New Roman" w:cs="Times New Roman"/>
                <w:b/>
              </w:rPr>
            </w:pPr>
            <w:r w:rsidRPr="008848FD">
              <w:rPr>
                <w:rFonts w:eastAsia="Times New Roman" w:cs="Times New Roman"/>
                <w:b/>
              </w:rPr>
              <w:t xml:space="preserve">Table </w:t>
            </w:r>
            <w:r w:rsidR="00B80839">
              <w:rPr>
                <w:rFonts w:eastAsia="Times New Roman" w:cs="Times New Roman"/>
                <w:b/>
              </w:rPr>
              <w:t>2</w:t>
            </w:r>
            <w:r w:rsidRPr="008848FD">
              <w:rPr>
                <w:rFonts w:eastAsia="Times New Roman" w:cs="Times New Roman"/>
                <w:b/>
              </w:rPr>
              <w:t xml:space="preserve">. Investment Shares of Profit, U.S. Corporations </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(net investment as percentage of profit two years earlier) </w:t>
            </w:r>
          </w:p>
          <w:p w:rsidR="00EC4F87" w:rsidRPr="008848FD" w:rsidRDefault="00EC4F87" w:rsidP="00991CD8">
            <w:pPr>
              <w:widowControl/>
              <w:suppressAutoHyphens w:val="0"/>
              <w:contextualSpacing/>
              <w:rPr>
                <w:rFonts w:eastAsia="Times New Roman" w:cs="Times New Roman"/>
              </w:rPr>
            </w:pPr>
          </w:p>
        </w:tc>
      </w:tr>
      <w:tr w:rsidR="00EC4F87" w:rsidRPr="008848FD" w:rsidTr="00EC4F87">
        <w:trPr>
          <w:trHeight w:val="180"/>
        </w:trPr>
        <w:tc>
          <w:tcPr>
            <w:tcW w:w="1095" w:type="dxa"/>
            <w:tcBorders>
              <w:bottom w:val="single" w:sz="4" w:space="0" w:color="auto"/>
              <w:right w:val="single" w:sz="4" w:space="0" w:color="auto"/>
            </w:tcBorders>
            <w:shd w:val="clear" w:color="auto" w:fill="auto"/>
            <w:noWrap/>
            <w:tcMar>
              <w:left w:w="0" w:type="dxa"/>
              <w:right w:w="0" w:type="dxa"/>
            </w:tcMar>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profit measure</w:t>
            </w:r>
            <w:r w:rsidRPr="000E234D">
              <w:rPr>
                <w:rFonts w:eastAsia="Times New Roman" w:cs="Times New Roman"/>
                <w:sz w:val="16"/>
                <w:szCs w:val="16"/>
              </w:rPr>
              <w:t xml:space="preserve"> </w:t>
            </w:r>
            <w:r w:rsidRPr="00A737A7">
              <w:rPr>
                <w:rFonts w:eastAsia="Times New Roman" w:cs="Times New Roman"/>
                <w:vertAlign w:val="superscript"/>
              </w:rPr>
              <w:t>1</w:t>
            </w:r>
          </w:p>
        </w:tc>
        <w:tc>
          <w:tcPr>
            <w:tcW w:w="920" w:type="dxa"/>
            <w:tcBorders>
              <w:left w:val="single" w:sz="4" w:space="0" w:color="auto"/>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1949–  </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1971</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1972–</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1980</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1985</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1986–</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2001</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2002–</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2007</w:t>
            </w:r>
          </w:p>
        </w:tc>
        <w:tc>
          <w:tcPr>
            <w:tcW w:w="460" w:type="dxa"/>
            <w:tcBorders>
              <w:bottom w:val="single" w:sz="4" w:space="0" w:color="auto"/>
              <w:right w:val="single" w:sz="4" w:space="0" w:color="auto"/>
            </w:tcBorders>
          </w:tcPr>
          <w:p w:rsidR="00EC4F87" w:rsidRPr="008848FD" w:rsidRDefault="00EC4F87" w:rsidP="00991CD8">
            <w:pPr>
              <w:widowControl/>
              <w:suppressAutoHyphens w:val="0"/>
              <w:contextualSpacing/>
              <w:rPr>
                <w:rFonts w:eastAsia="Times New Roman" w:cs="Times New Roman"/>
              </w:rPr>
            </w:pPr>
          </w:p>
        </w:tc>
        <w:tc>
          <w:tcPr>
            <w:tcW w:w="460" w:type="dxa"/>
            <w:tcBorders>
              <w:left w:val="single" w:sz="4" w:space="0" w:color="auto"/>
              <w:bottom w:val="single" w:sz="4" w:space="0" w:color="auto"/>
            </w:tcBorders>
          </w:tcPr>
          <w:p w:rsidR="00EC4F87" w:rsidRPr="008848FD" w:rsidRDefault="00EC4F87" w:rsidP="00991CD8">
            <w:pPr>
              <w:widowControl/>
              <w:suppressAutoHyphens w:val="0"/>
              <w:contextualSpacing/>
              <w:rPr>
                <w:rFonts w:eastAsia="Times New Roman" w:cs="Times New Roman"/>
              </w:rPr>
            </w:pP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1949–</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1980</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2001</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2007</w:t>
            </w:r>
          </w:p>
        </w:tc>
      </w:tr>
      <w:tr w:rsidR="00EC4F87" w:rsidRPr="008848FD" w:rsidTr="00EC4F87">
        <w:trPr>
          <w:trHeight w:val="108"/>
        </w:trPr>
        <w:tc>
          <w:tcPr>
            <w:tcW w:w="1095" w:type="dxa"/>
            <w:tcBorders>
              <w:top w:val="single" w:sz="4" w:space="0" w:color="auto"/>
              <w:righ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PI</w:t>
            </w:r>
          </w:p>
        </w:tc>
        <w:tc>
          <w:tcPr>
            <w:tcW w:w="920" w:type="dxa"/>
            <w:tcBorders>
              <w:top w:val="single" w:sz="4" w:space="0" w:color="auto"/>
              <w:lef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24%</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37%</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38%</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24%</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18%</w:t>
            </w:r>
          </w:p>
        </w:tc>
        <w:tc>
          <w:tcPr>
            <w:tcW w:w="460" w:type="dxa"/>
            <w:tcBorders>
              <w:righ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460" w:type="dxa"/>
            <w:tcBorders>
              <w:lef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28%</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28%</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25%</w:t>
            </w:r>
          </w:p>
        </w:tc>
      </w:tr>
      <w:tr w:rsidR="00EC4F87" w:rsidRPr="008848FD" w:rsidTr="00EC4F87">
        <w:trPr>
          <w:trHeight w:val="117"/>
        </w:trPr>
        <w:tc>
          <w:tcPr>
            <w:tcW w:w="1095" w:type="dxa"/>
            <w:tcBorders>
              <w:righ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NOS</w:t>
            </w:r>
          </w:p>
        </w:tc>
        <w:tc>
          <w:tcPr>
            <w:tcW w:w="920" w:type="dxa"/>
            <w:tcBorders>
              <w:lef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34%</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55%</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54%</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36%</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26%</w:t>
            </w:r>
          </w:p>
        </w:tc>
        <w:tc>
          <w:tcPr>
            <w:tcW w:w="460" w:type="dxa"/>
            <w:tcBorders>
              <w:righ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460" w:type="dxa"/>
            <w:tcBorders>
              <w:lef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40%</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40%</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37%</w:t>
            </w:r>
          </w:p>
        </w:tc>
      </w:tr>
      <w:tr w:rsidR="00EC4F87" w:rsidRPr="008848FD" w:rsidTr="00EC4F87">
        <w:trPr>
          <w:trHeight w:val="80"/>
        </w:trPr>
        <w:tc>
          <w:tcPr>
            <w:tcW w:w="1095" w:type="dxa"/>
            <w:tcBorders>
              <w:righ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BTP</w:t>
            </w:r>
          </w:p>
        </w:tc>
        <w:tc>
          <w:tcPr>
            <w:tcW w:w="920" w:type="dxa"/>
            <w:tcBorders>
              <w:lef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36%</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65%</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72%</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46%</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31%</w:t>
            </w:r>
          </w:p>
        </w:tc>
        <w:tc>
          <w:tcPr>
            <w:tcW w:w="460" w:type="dxa"/>
            <w:tcBorders>
              <w:righ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460" w:type="dxa"/>
            <w:tcBorders>
              <w:lef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44%</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52%</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47%</w:t>
            </w:r>
          </w:p>
        </w:tc>
      </w:tr>
      <w:tr w:rsidR="00EC4F87" w:rsidRPr="008848FD" w:rsidTr="00EC4F87">
        <w:trPr>
          <w:trHeight w:val="80"/>
        </w:trPr>
        <w:tc>
          <w:tcPr>
            <w:tcW w:w="1095" w:type="dxa"/>
            <w:tcBorders>
              <w:righ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ATP</w:t>
            </w:r>
          </w:p>
        </w:tc>
        <w:tc>
          <w:tcPr>
            <w:tcW w:w="920" w:type="dxa"/>
            <w:tcBorders>
              <w:lef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61%</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105%</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107%</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67%</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45%</w:t>
            </w:r>
          </w:p>
        </w:tc>
        <w:tc>
          <w:tcPr>
            <w:tcW w:w="460" w:type="dxa"/>
            <w:tcBorders>
              <w:righ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460" w:type="dxa"/>
            <w:tcBorders>
              <w:lef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74%</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76%</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69%</w:t>
            </w:r>
          </w:p>
        </w:tc>
      </w:tr>
      <w:tr w:rsidR="00EC4F87" w:rsidRPr="008848FD" w:rsidTr="00EC4F87">
        <w:trPr>
          <w:trHeight w:val="80"/>
        </w:trPr>
        <w:tc>
          <w:tcPr>
            <w:tcW w:w="9375" w:type="dxa"/>
            <w:gridSpan w:val="11"/>
            <w:shd w:val="clear" w:color="auto" w:fill="auto"/>
            <w:noWrap/>
            <w:vAlign w:val="bottom"/>
          </w:tcPr>
          <w:p w:rsidR="00EC4F87" w:rsidRPr="008848FD" w:rsidRDefault="00EC4F87" w:rsidP="00991CD8">
            <w:pPr>
              <w:widowControl/>
              <w:suppressAutoHyphens w:val="0"/>
              <w:contextualSpacing/>
              <w:rPr>
                <w:rFonts w:eastAsia="Times New Roman" w:cs="Times New Roman"/>
              </w:rPr>
            </w:pP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vertAlign w:val="superscript"/>
              </w:rPr>
              <w:t>1</w:t>
            </w:r>
            <w:r w:rsidRPr="008848FD">
              <w:rPr>
                <w:rFonts w:eastAsia="Times New Roman" w:cs="Times New Roman"/>
              </w:rPr>
              <w:t xml:space="preserve"> PI = property income; NOS = net operating surplus; BTP = before-tax profit; ATP = after-tax profit </w:t>
            </w:r>
          </w:p>
        </w:tc>
      </w:tr>
    </w:tbl>
    <w:p w:rsidR="00B80839" w:rsidRDefault="00B80839" w:rsidP="00991CD8">
      <w:pPr>
        <w:widowControl/>
        <w:suppressAutoHyphens w:val="0"/>
        <w:spacing w:line="720" w:lineRule="auto"/>
        <w:contextualSpacing/>
        <w:rPr>
          <w:rFonts w:cs="Times New Roman"/>
        </w:rPr>
      </w:pPr>
    </w:p>
    <w:p w:rsidR="00EC4F87" w:rsidRPr="008848FD" w:rsidRDefault="00EC4F87" w:rsidP="00991CD8">
      <w:pPr>
        <w:widowControl/>
        <w:suppressAutoHyphens w:val="0"/>
        <w:spacing w:line="480" w:lineRule="auto"/>
        <w:ind w:firstLine="706"/>
        <w:contextualSpacing/>
        <w:rPr>
          <w:rFonts w:cs="Times New Roman"/>
        </w:rPr>
      </w:pPr>
      <w:r w:rsidRPr="008848FD">
        <w:rPr>
          <w:rFonts w:cs="Times New Roman"/>
        </w:rPr>
        <w:t xml:space="preserve">The above findings use net investment and profit data based partly on historical-cost depreciation figures. As Table </w:t>
      </w:r>
      <w:r w:rsidR="00B80839">
        <w:rPr>
          <w:rFonts w:cs="Times New Roman"/>
        </w:rPr>
        <w:t>3</w:t>
      </w:r>
      <w:r w:rsidR="00B80839" w:rsidRPr="008848FD">
        <w:rPr>
          <w:rFonts w:cs="Times New Roman"/>
        </w:rPr>
        <w:t xml:space="preserve"> </w:t>
      </w:r>
      <w:r w:rsidRPr="008848FD">
        <w:rPr>
          <w:rFonts w:cs="Times New Roman"/>
        </w:rPr>
        <w:t xml:space="preserve">shows, we arrive at very similar conclusions when current-cost depreciation figures are used instead.  </w:t>
      </w:r>
    </w:p>
    <w:p w:rsidR="00EC4F87" w:rsidRDefault="00EC4F87" w:rsidP="00991CD8">
      <w:pPr>
        <w:widowControl/>
        <w:suppressAutoHyphens w:val="0"/>
        <w:spacing w:line="720" w:lineRule="auto"/>
        <w:contextualSpacing/>
        <w:rPr>
          <w:rFonts w:cs="Times New Roman"/>
        </w:rPr>
      </w:pPr>
    </w:p>
    <w:p w:rsidR="006B4C3B" w:rsidRDefault="006B4C3B" w:rsidP="00991CD8">
      <w:pPr>
        <w:widowControl/>
        <w:suppressAutoHyphens w:val="0"/>
        <w:spacing w:line="720" w:lineRule="auto"/>
        <w:contextualSpacing/>
        <w:rPr>
          <w:rFonts w:cs="Times New Roman"/>
        </w:rPr>
      </w:pPr>
    </w:p>
    <w:tbl>
      <w:tblPr>
        <w:tblW w:w="9375" w:type="dxa"/>
        <w:tblInd w:w="93" w:type="dxa"/>
        <w:tblLayout w:type="fixed"/>
        <w:tblLook w:val="04A0" w:firstRow="1" w:lastRow="0" w:firstColumn="1" w:lastColumn="0" w:noHBand="0" w:noVBand="1"/>
      </w:tblPr>
      <w:tblGrid>
        <w:gridCol w:w="1095"/>
        <w:gridCol w:w="920"/>
        <w:gridCol w:w="920"/>
        <w:gridCol w:w="920"/>
        <w:gridCol w:w="920"/>
        <w:gridCol w:w="920"/>
        <w:gridCol w:w="460"/>
        <w:gridCol w:w="460"/>
        <w:gridCol w:w="920"/>
        <w:gridCol w:w="920"/>
        <w:gridCol w:w="920"/>
      </w:tblGrid>
      <w:tr w:rsidR="00EC4F87" w:rsidRPr="008848FD" w:rsidTr="00EC4F87">
        <w:trPr>
          <w:trHeight w:val="80"/>
        </w:trPr>
        <w:tc>
          <w:tcPr>
            <w:tcW w:w="9375" w:type="dxa"/>
            <w:gridSpan w:val="11"/>
            <w:shd w:val="clear" w:color="auto" w:fill="auto"/>
            <w:noWrap/>
            <w:vAlign w:val="bottom"/>
          </w:tcPr>
          <w:p w:rsidR="00EC4F87" w:rsidRPr="008848FD" w:rsidRDefault="00EC4F87" w:rsidP="00C52483">
            <w:pPr>
              <w:widowControl/>
              <w:suppressAutoHyphens w:val="0"/>
              <w:contextualSpacing/>
              <w:rPr>
                <w:rFonts w:eastAsia="Times New Roman" w:cs="Times New Roman"/>
                <w:b/>
              </w:rPr>
            </w:pPr>
            <w:r w:rsidRPr="008848FD">
              <w:rPr>
                <w:rFonts w:eastAsia="Times New Roman" w:cs="Times New Roman"/>
                <w:b/>
              </w:rPr>
              <w:lastRenderedPageBreak/>
              <w:t xml:space="preserve">Table </w:t>
            </w:r>
            <w:r w:rsidR="00B80839">
              <w:rPr>
                <w:rFonts w:eastAsia="Times New Roman" w:cs="Times New Roman"/>
                <w:b/>
              </w:rPr>
              <w:t>3</w:t>
            </w:r>
            <w:r w:rsidRPr="008848FD">
              <w:rPr>
                <w:rFonts w:eastAsia="Times New Roman" w:cs="Times New Roman"/>
                <w:b/>
              </w:rPr>
              <w:t xml:space="preserve">. Current-Cost Investment Shares of Profit, U.S. Corporations </w:t>
            </w:r>
          </w:p>
          <w:p w:rsidR="00EC4F87" w:rsidRPr="008848FD" w:rsidRDefault="00EC4F87" w:rsidP="00C52483">
            <w:pPr>
              <w:widowControl/>
              <w:suppressAutoHyphens w:val="0"/>
              <w:contextualSpacing/>
              <w:rPr>
                <w:rFonts w:eastAsia="Times New Roman" w:cs="Times New Roman"/>
              </w:rPr>
            </w:pPr>
            <w:r w:rsidRPr="008848FD">
              <w:rPr>
                <w:rFonts w:eastAsia="Times New Roman" w:cs="Times New Roman"/>
              </w:rPr>
              <w:t xml:space="preserve">(net investment as percentage of profit two years earlier; depreciation measured at current cost) </w:t>
            </w:r>
          </w:p>
          <w:p w:rsidR="00EC4F87" w:rsidRPr="008848FD" w:rsidRDefault="00EC4F87" w:rsidP="00C52483">
            <w:pPr>
              <w:widowControl/>
              <w:suppressAutoHyphens w:val="0"/>
              <w:contextualSpacing/>
              <w:rPr>
                <w:rFonts w:eastAsia="Times New Roman" w:cs="Times New Roman"/>
              </w:rPr>
            </w:pPr>
          </w:p>
        </w:tc>
      </w:tr>
      <w:tr w:rsidR="00EC4F87" w:rsidRPr="008848FD" w:rsidTr="00EC4F87">
        <w:trPr>
          <w:trHeight w:val="180"/>
        </w:trPr>
        <w:tc>
          <w:tcPr>
            <w:tcW w:w="1095" w:type="dxa"/>
            <w:tcBorders>
              <w:bottom w:val="single" w:sz="4" w:space="0" w:color="auto"/>
              <w:right w:val="single" w:sz="4" w:space="0" w:color="auto"/>
            </w:tcBorders>
            <w:shd w:val="clear" w:color="auto" w:fill="auto"/>
            <w:noWrap/>
            <w:tcMar>
              <w:left w:w="0" w:type="dxa"/>
              <w:right w:w="0" w:type="dxa"/>
            </w:tcMar>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profit measure</w:t>
            </w:r>
            <w:r w:rsidRPr="000E234D">
              <w:rPr>
                <w:rFonts w:eastAsia="Times New Roman" w:cs="Times New Roman"/>
                <w:sz w:val="16"/>
                <w:szCs w:val="16"/>
              </w:rPr>
              <w:t xml:space="preserve"> </w:t>
            </w:r>
            <w:r w:rsidRPr="00A737A7">
              <w:rPr>
                <w:rFonts w:eastAsia="Times New Roman" w:cs="Times New Roman"/>
                <w:vertAlign w:val="superscript"/>
              </w:rPr>
              <w:t>1</w:t>
            </w:r>
          </w:p>
        </w:tc>
        <w:tc>
          <w:tcPr>
            <w:tcW w:w="920" w:type="dxa"/>
            <w:tcBorders>
              <w:left w:val="single" w:sz="4" w:space="0" w:color="auto"/>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1949–  </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1971</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1972–</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1980</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1985</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1986–</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2001</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2002–</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2007</w:t>
            </w:r>
          </w:p>
        </w:tc>
        <w:tc>
          <w:tcPr>
            <w:tcW w:w="460" w:type="dxa"/>
            <w:tcBorders>
              <w:bottom w:val="single" w:sz="4" w:space="0" w:color="auto"/>
              <w:right w:val="single" w:sz="4" w:space="0" w:color="auto"/>
            </w:tcBorders>
          </w:tcPr>
          <w:p w:rsidR="00EC4F87" w:rsidRPr="008848FD" w:rsidRDefault="00EC4F87" w:rsidP="00991CD8">
            <w:pPr>
              <w:widowControl/>
              <w:suppressAutoHyphens w:val="0"/>
              <w:contextualSpacing/>
              <w:rPr>
                <w:rFonts w:eastAsia="Times New Roman" w:cs="Times New Roman"/>
              </w:rPr>
            </w:pPr>
          </w:p>
        </w:tc>
        <w:tc>
          <w:tcPr>
            <w:tcW w:w="460" w:type="dxa"/>
            <w:tcBorders>
              <w:left w:val="single" w:sz="4" w:space="0" w:color="auto"/>
              <w:bottom w:val="single" w:sz="4" w:space="0" w:color="auto"/>
            </w:tcBorders>
          </w:tcPr>
          <w:p w:rsidR="00EC4F87" w:rsidRPr="008848FD" w:rsidRDefault="00EC4F87" w:rsidP="00991CD8">
            <w:pPr>
              <w:widowControl/>
              <w:suppressAutoHyphens w:val="0"/>
              <w:contextualSpacing/>
              <w:rPr>
                <w:rFonts w:eastAsia="Times New Roman" w:cs="Times New Roman"/>
              </w:rPr>
            </w:pP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1949–</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1980</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2001</w:t>
            </w:r>
          </w:p>
        </w:tc>
        <w:tc>
          <w:tcPr>
            <w:tcW w:w="920" w:type="dxa"/>
            <w:tcBorders>
              <w:bottom w:val="single" w:sz="4" w:space="0" w:color="auto"/>
            </w:tcBorders>
            <w:shd w:val="clear" w:color="auto" w:fill="auto"/>
            <w:noWrap/>
            <w:vAlign w:val="bottom"/>
            <w:hideMark/>
          </w:tcPr>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rPr>
              <w:t xml:space="preserve"> 2007</w:t>
            </w:r>
          </w:p>
        </w:tc>
      </w:tr>
      <w:tr w:rsidR="00EC4F87" w:rsidRPr="008848FD" w:rsidTr="00EC4F87">
        <w:trPr>
          <w:trHeight w:val="108"/>
        </w:trPr>
        <w:tc>
          <w:tcPr>
            <w:tcW w:w="1095" w:type="dxa"/>
            <w:tcBorders>
              <w:top w:val="single" w:sz="4" w:space="0" w:color="auto"/>
              <w:righ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PI</w:t>
            </w:r>
          </w:p>
        </w:tc>
        <w:tc>
          <w:tcPr>
            <w:tcW w:w="920" w:type="dxa"/>
            <w:tcBorders>
              <w:top w:val="single" w:sz="4" w:space="0" w:color="auto"/>
              <w:lef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19%</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27%</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27%</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19%</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13%</w:t>
            </w:r>
          </w:p>
        </w:tc>
        <w:tc>
          <w:tcPr>
            <w:tcW w:w="460" w:type="dxa"/>
            <w:tcBorders>
              <w:righ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460" w:type="dxa"/>
            <w:tcBorders>
              <w:lef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21%</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21%</w:t>
            </w:r>
          </w:p>
        </w:tc>
        <w:tc>
          <w:tcPr>
            <w:tcW w:w="920" w:type="dxa"/>
            <w:tcBorders>
              <w:top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19%</w:t>
            </w:r>
          </w:p>
        </w:tc>
      </w:tr>
      <w:tr w:rsidR="00EC4F87" w:rsidRPr="008848FD" w:rsidTr="00EC4F87">
        <w:trPr>
          <w:trHeight w:val="117"/>
        </w:trPr>
        <w:tc>
          <w:tcPr>
            <w:tcW w:w="1095" w:type="dxa"/>
            <w:tcBorders>
              <w:righ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NOS</w:t>
            </w:r>
          </w:p>
        </w:tc>
        <w:tc>
          <w:tcPr>
            <w:tcW w:w="920" w:type="dxa"/>
            <w:tcBorders>
              <w:lef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27%</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42%</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41%</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29%</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19%</w:t>
            </w:r>
          </w:p>
        </w:tc>
        <w:tc>
          <w:tcPr>
            <w:tcW w:w="460" w:type="dxa"/>
            <w:tcBorders>
              <w:righ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460" w:type="dxa"/>
            <w:tcBorders>
              <w:lef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32%</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32%</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29%</w:t>
            </w:r>
          </w:p>
        </w:tc>
      </w:tr>
      <w:tr w:rsidR="00EC4F87" w:rsidRPr="008848FD" w:rsidTr="00EC4F87">
        <w:trPr>
          <w:trHeight w:val="80"/>
        </w:trPr>
        <w:tc>
          <w:tcPr>
            <w:tcW w:w="1095" w:type="dxa"/>
            <w:tcBorders>
              <w:righ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BTP</w:t>
            </w:r>
          </w:p>
        </w:tc>
        <w:tc>
          <w:tcPr>
            <w:tcW w:w="920" w:type="dxa"/>
            <w:tcBorders>
              <w:lef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29%</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51%</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 xml:space="preserve">  60%</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37%</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23%</w:t>
            </w:r>
          </w:p>
        </w:tc>
        <w:tc>
          <w:tcPr>
            <w:tcW w:w="460" w:type="dxa"/>
            <w:tcBorders>
              <w:righ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460" w:type="dxa"/>
            <w:tcBorders>
              <w:lef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35%</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43%</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38%</w:t>
            </w:r>
          </w:p>
        </w:tc>
      </w:tr>
      <w:tr w:rsidR="00EC4F87" w:rsidRPr="008848FD" w:rsidTr="00EC4F87">
        <w:trPr>
          <w:trHeight w:val="80"/>
        </w:trPr>
        <w:tc>
          <w:tcPr>
            <w:tcW w:w="1095" w:type="dxa"/>
            <w:tcBorders>
              <w:righ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eastAsia="Times New Roman" w:cs="Times New Roman"/>
              </w:rPr>
            </w:pPr>
            <w:r w:rsidRPr="008848FD">
              <w:rPr>
                <w:rFonts w:eastAsia="Times New Roman" w:cs="Times New Roman"/>
              </w:rPr>
              <w:t>ATP</w:t>
            </w:r>
          </w:p>
        </w:tc>
        <w:tc>
          <w:tcPr>
            <w:tcW w:w="920" w:type="dxa"/>
            <w:tcBorders>
              <w:left w:val="single" w:sz="4" w:space="0" w:color="auto"/>
            </w:tcBorders>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52%</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92%</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106%</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59%</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34%</w:t>
            </w:r>
          </w:p>
        </w:tc>
        <w:tc>
          <w:tcPr>
            <w:tcW w:w="460" w:type="dxa"/>
            <w:tcBorders>
              <w:righ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460" w:type="dxa"/>
            <w:tcBorders>
              <w:left w:val="single" w:sz="4" w:space="0" w:color="auto"/>
            </w:tcBorders>
          </w:tcPr>
          <w:p w:rsidR="00EC4F87" w:rsidRPr="008848FD" w:rsidRDefault="00EC4F87" w:rsidP="00991CD8">
            <w:pPr>
              <w:widowControl/>
              <w:suppressAutoHyphens w:val="0"/>
              <w:contextualSpacing/>
              <w:jc w:val="center"/>
              <w:rPr>
                <w:rFonts w:eastAsia="Times New Roman" w:cs="Times New Roman"/>
              </w:rPr>
            </w:pP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64%</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70%</w:t>
            </w:r>
          </w:p>
        </w:tc>
        <w:tc>
          <w:tcPr>
            <w:tcW w:w="920" w:type="dxa"/>
            <w:shd w:val="clear" w:color="auto" w:fill="auto"/>
            <w:noWrap/>
            <w:vAlign w:val="bottom"/>
            <w:hideMark/>
          </w:tcPr>
          <w:p w:rsidR="00EC4F87" w:rsidRPr="008848FD" w:rsidRDefault="00EC4F87" w:rsidP="00991CD8">
            <w:pPr>
              <w:widowControl/>
              <w:suppressAutoHyphens w:val="0"/>
              <w:contextualSpacing/>
              <w:jc w:val="center"/>
              <w:rPr>
                <w:rFonts w:cs="Times New Roman"/>
              </w:rPr>
            </w:pPr>
            <w:r w:rsidRPr="008848FD">
              <w:rPr>
                <w:rFonts w:cs="Times New Roman"/>
              </w:rPr>
              <w:t>62%</w:t>
            </w:r>
          </w:p>
        </w:tc>
      </w:tr>
      <w:tr w:rsidR="00EC4F87" w:rsidRPr="008848FD" w:rsidTr="00EC4F87">
        <w:trPr>
          <w:trHeight w:val="80"/>
        </w:trPr>
        <w:tc>
          <w:tcPr>
            <w:tcW w:w="9375" w:type="dxa"/>
            <w:gridSpan w:val="11"/>
            <w:shd w:val="clear" w:color="auto" w:fill="auto"/>
            <w:noWrap/>
            <w:vAlign w:val="bottom"/>
          </w:tcPr>
          <w:p w:rsidR="00EC4F87" w:rsidRPr="008848FD" w:rsidRDefault="00EC4F87" w:rsidP="00991CD8">
            <w:pPr>
              <w:widowControl/>
              <w:suppressAutoHyphens w:val="0"/>
              <w:contextualSpacing/>
              <w:rPr>
                <w:rFonts w:eastAsia="Times New Roman" w:cs="Times New Roman"/>
              </w:rPr>
            </w:pPr>
          </w:p>
          <w:p w:rsidR="00EC4F87" w:rsidRPr="008848FD" w:rsidRDefault="00EC4F87" w:rsidP="00991CD8">
            <w:pPr>
              <w:widowControl/>
              <w:suppressAutoHyphens w:val="0"/>
              <w:contextualSpacing/>
              <w:rPr>
                <w:rFonts w:eastAsia="Times New Roman" w:cs="Times New Roman"/>
              </w:rPr>
            </w:pPr>
            <w:r w:rsidRPr="008848FD">
              <w:rPr>
                <w:rFonts w:eastAsia="Times New Roman" w:cs="Times New Roman"/>
                <w:vertAlign w:val="superscript"/>
              </w:rPr>
              <w:t>1</w:t>
            </w:r>
            <w:r w:rsidRPr="008848FD">
              <w:rPr>
                <w:rFonts w:eastAsia="Times New Roman" w:cs="Times New Roman"/>
              </w:rPr>
              <w:t xml:space="preserve"> PI = property income; NOS = net operating surplus; BTP = before-tax profit; ATP = after-tax profit </w:t>
            </w:r>
          </w:p>
        </w:tc>
      </w:tr>
    </w:tbl>
    <w:p w:rsidR="00EC4F87" w:rsidRPr="008848FD" w:rsidRDefault="00EC4F87" w:rsidP="00991CD8">
      <w:pPr>
        <w:widowControl/>
        <w:suppressAutoHyphens w:val="0"/>
        <w:spacing w:line="720" w:lineRule="auto"/>
        <w:contextualSpacing/>
        <w:rPr>
          <w:rFonts w:cs="Times New Roman"/>
        </w:rPr>
      </w:pPr>
    </w:p>
    <w:p w:rsidR="00EC4F87" w:rsidRPr="00A737A7" w:rsidRDefault="00EC4F87" w:rsidP="00991CD8">
      <w:pPr>
        <w:widowControl/>
        <w:suppressAutoHyphens w:val="0"/>
        <w:spacing w:line="480" w:lineRule="auto"/>
        <w:ind w:firstLine="706"/>
        <w:contextualSpacing/>
        <w:rPr>
          <w:rFonts w:cs="Times New Roman"/>
        </w:rPr>
      </w:pPr>
      <w:r w:rsidRPr="008848FD">
        <w:rPr>
          <w:rFonts w:cs="Times New Roman"/>
        </w:rPr>
        <w:t xml:space="preserve">A sharp decline in investment and a large, though temporary, spike in profitability occurred after 2001. As a result, three of the four average investment-shares for the neoliberal period as a whole, </w:t>
      </w:r>
      <w:r w:rsidRPr="008848FD">
        <w:rPr>
          <w:rFonts w:eastAsia="Times New Roman" w:cs="Times New Roman"/>
        </w:rPr>
        <w:t xml:space="preserve">1981–2007, fall short of the averages for the 1949–1980 period. However, this fact cannot be attributed to </w:t>
      </w:r>
      <w:r w:rsidRPr="008848FD">
        <w:rPr>
          <w:rFonts w:cs="Times New Roman"/>
        </w:rPr>
        <w:t xml:space="preserve">neoliberalism, or to an emergent neoliberal mode of corporate governance.  Such an explanation cannot account for why </w:t>
      </w:r>
      <w:r w:rsidRPr="008848FD">
        <w:rPr>
          <w:rFonts w:eastAsia="Times New Roman" w:cs="Times New Roman"/>
        </w:rPr>
        <w:t xml:space="preserve">the investment share was not inferior to the </w:t>
      </w:r>
      <w:r w:rsidRPr="008848FD">
        <w:rPr>
          <w:rFonts w:cs="Times New Roman"/>
        </w:rPr>
        <w:t xml:space="preserve">pre-neoliberal share </w:t>
      </w:r>
      <w:r w:rsidRPr="008848FD">
        <w:rPr>
          <w:rFonts w:eastAsia="Times New Roman" w:cs="Times New Roman"/>
        </w:rPr>
        <w:t>during the first 21 years of neoliberalism</w:t>
      </w:r>
      <w:r w:rsidRPr="008848FD">
        <w:rPr>
          <w:rFonts w:cs="Times New Roman"/>
        </w:rPr>
        <w:t>, but then suddenly plummeted.</w:t>
      </w:r>
      <w:r w:rsidRPr="00A737A7">
        <w:rPr>
          <w:rFonts w:cs="Times New Roman"/>
        </w:rPr>
        <w:t xml:space="preserve"> </w:t>
      </w:r>
    </w:p>
    <w:p w:rsidR="00EC4F87" w:rsidRDefault="00EC4F87" w:rsidP="00991CD8">
      <w:pPr>
        <w:pStyle w:val="WW-Default"/>
        <w:suppressAutoHyphens w:val="0"/>
        <w:spacing w:line="480" w:lineRule="auto"/>
        <w:ind w:firstLine="706"/>
        <w:contextualSpacing/>
      </w:pPr>
      <w:r w:rsidRPr="008848FD">
        <w:t xml:space="preserve">The post-2001 decline in the investment share seems to have been a temporary response to events of that period––perhaps events such as the bursting of the </w:t>
      </w:r>
      <w:r w:rsidR="0071600A">
        <w:t>“</w:t>
      </w:r>
      <w:r w:rsidRPr="008848FD">
        <w:t>dot-com</w:t>
      </w:r>
      <w:r w:rsidR="0071600A">
        <w:t>”</w:t>
      </w:r>
      <w:r w:rsidRPr="008848FD">
        <w:t xml:space="preserve"> stock market bubble that began at the end of 2000, the sharp decline in the rate of profit between 1997 and 2001, and the 9/11 terrorist attacks. After 2004, the investment share rebounded sharply. For instance, while after-tax profit was only 6% greater in 2007 than in 2004, net investment was 107% greater. Indeed, net investment increased by $240 billion while after-tax profit increased by only $47 billion, which means that corporations were investing an extra $5 for every extra $1 of profit. Thus, by 2007, the percentage increase in net investment relative to 1997 was slightly greater than the comparable percentage increase in after-tax profit (see Figure </w:t>
      </w:r>
      <w:r w:rsidR="00B80839">
        <w:t>11</w:t>
      </w:r>
      <w:r w:rsidRPr="008848FD">
        <w:t xml:space="preserve">), which implies </w:t>
      </w:r>
      <w:r w:rsidRPr="008848FD">
        <w:lastRenderedPageBreak/>
        <w:t xml:space="preserve">that the (non-lagged) investment share was slightly higher in 2007 than in 1997. We do not see how these facts are compatible with a narrative in which neoliberalism and/or a new model of corporate governance are causing companies to divert profit from productive investment to financial uses. </w:t>
      </w:r>
    </w:p>
    <w:p w:rsidR="003B2B35" w:rsidRDefault="003B2B35" w:rsidP="00B12D7B">
      <w:pPr>
        <w:pStyle w:val="WW-Default"/>
        <w:suppressAutoHyphens w:val="0"/>
        <w:contextualSpacing/>
      </w:pPr>
    </w:p>
    <w:p w:rsidR="003B2B35" w:rsidRPr="008848FD" w:rsidRDefault="003B2B35" w:rsidP="00B12D7B">
      <w:pPr>
        <w:pStyle w:val="WW-Default"/>
        <w:suppressAutoHyphens w:val="0"/>
        <w:contextualSpacing/>
      </w:pPr>
    </w:p>
    <w:p w:rsidR="00EC4F87" w:rsidRPr="008848FD" w:rsidRDefault="00EC4F87" w:rsidP="00B12D7B">
      <w:pPr>
        <w:pStyle w:val="WW-Default"/>
        <w:suppressAutoHyphens w:val="0"/>
        <w:contextualSpacing/>
        <w:rPr>
          <w:b/>
        </w:rPr>
      </w:pPr>
      <w:r w:rsidRPr="008848FD">
        <w:rPr>
          <w:b/>
        </w:rPr>
        <w:t xml:space="preserve">Figure </w:t>
      </w:r>
      <w:r w:rsidR="00B80839">
        <w:rPr>
          <w:b/>
        </w:rPr>
        <w:t>11</w:t>
      </w:r>
      <w:r w:rsidRPr="008848FD">
        <w:rPr>
          <w:b/>
        </w:rPr>
        <w:t>. Net Investment and After-Tax Profit, U.S. Corporations</w:t>
      </w:r>
    </w:p>
    <w:p w:rsidR="00EC4F87" w:rsidRPr="008848FD" w:rsidRDefault="00EC4F87" w:rsidP="00B12D7B">
      <w:pPr>
        <w:pStyle w:val="WW-Default"/>
        <w:suppressAutoHyphens w:val="0"/>
        <w:contextualSpacing/>
      </w:pPr>
      <w:r w:rsidRPr="008848FD">
        <w:t>(percentage differences from 1997 levels)</w:t>
      </w:r>
    </w:p>
    <w:p w:rsidR="00EC4F87" w:rsidRPr="00A737A7" w:rsidRDefault="00EC4F87" w:rsidP="00991CD8">
      <w:pPr>
        <w:pStyle w:val="WW-Default"/>
        <w:suppressAutoHyphens w:val="0"/>
        <w:spacing w:line="480" w:lineRule="auto"/>
        <w:contextualSpacing/>
      </w:pPr>
      <w:r w:rsidRPr="00A737A7">
        <w:rPr>
          <w:noProof/>
          <w:lang w:eastAsia="en-US"/>
        </w:rPr>
        <w:drawing>
          <wp:inline distT="0" distB="0" distL="0" distR="0" wp14:anchorId="0D06D240" wp14:editId="59BCA1C3">
            <wp:extent cx="6010275" cy="2914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4F87" w:rsidRDefault="00EC4F87" w:rsidP="00B12D7B">
      <w:pPr>
        <w:widowControl/>
        <w:suppressAutoHyphens w:val="0"/>
        <w:spacing w:line="720" w:lineRule="auto"/>
        <w:contextualSpacing/>
        <w:rPr>
          <w:rFonts w:cs="Times New Roman"/>
        </w:rPr>
      </w:pPr>
    </w:p>
    <w:p w:rsidR="00BE2D16" w:rsidRPr="008848FD" w:rsidRDefault="006B4C3B" w:rsidP="00B12D7B">
      <w:pPr>
        <w:pStyle w:val="WW-Default"/>
        <w:suppressAutoHyphens w:val="0"/>
        <w:spacing w:line="480" w:lineRule="auto"/>
        <w:ind w:firstLine="706"/>
        <w:contextualSpacing/>
      </w:pPr>
      <w:r w:rsidRPr="008848FD">
        <w:t xml:space="preserve">In any case, once one adjusts for changes in the rate of depreciation, the average investment share of profit becomes a good deal greater during the neoliberal period, even </w:t>
      </w:r>
      <w:r>
        <w:t xml:space="preserve">when </w:t>
      </w:r>
      <w:r w:rsidRPr="008848FD">
        <w:t>the post-2001 years are included, than in the period that preceded it.</w:t>
      </w:r>
      <w:r w:rsidR="00647404">
        <w:rPr>
          <w:rStyle w:val="FootnoteReference"/>
        </w:rPr>
        <w:footnoteReference w:id="17"/>
      </w:r>
      <w:r w:rsidRPr="008848FD">
        <w:t xml:space="preserve"> As Figure </w:t>
      </w:r>
      <w:r>
        <w:t>12</w:t>
      </w:r>
      <w:r w:rsidRPr="008848FD">
        <w:t xml:space="preserve"> shows, the rate of depreciation––depreciation of corporations</w:t>
      </w:r>
      <w:r w:rsidR="0071600A">
        <w:t>’</w:t>
      </w:r>
      <w:r w:rsidRPr="008848FD">
        <w:t xml:space="preserve"> fixed assets as a percentage of the net stock </w:t>
      </w:r>
      <w:r w:rsidRPr="008848FD">
        <w:lastRenderedPageBreak/>
        <w:t>of their fixed assets</w:t>
      </w:r>
      <w:r w:rsidRPr="008848FD">
        <w:softHyphen/>
      </w:r>
      <w:r w:rsidRPr="008848FD">
        <w:softHyphen/>
        <w:t xml:space="preserve">––rose markedly after 1960. Kliman (2011, pp. 140–143) showed that the entire </w:t>
      </w:r>
      <w:r w:rsidR="00BE2D16" w:rsidRPr="008848FD">
        <w:t>rise is attributable to the information-technology revolution. Investment in information-processing equipment and software became a greater and greater share of corporations</w:t>
      </w:r>
      <w:r w:rsidR="0071600A">
        <w:t>’</w:t>
      </w:r>
      <w:r w:rsidR="00BE2D16" w:rsidRPr="008848FD">
        <w:t xml:space="preserve"> total</w:t>
      </w:r>
    </w:p>
    <w:p w:rsidR="00BE2D16" w:rsidRPr="008848FD" w:rsidRDefault="00BE2D16" w:rsidP="00BE2D16">
      <w:pPr>
        <w:widowControl/>
        <w:suppressAutoHyphens w:val="0"/>
        <w:spacing w:line="480" w:lineRule="auto"/>
        <w:contextualSpacing/>
        <w:rPr>
          <w:rFonts w:cs="Times New Roman"/>
        </w:rPr>
      </w:pPr>
      <w:r w:rsidRPr="008848FD">
        <w:rPr>
          <w:rFonts w:cs="Times New Roman"/>
        </w:rPr>
        <w:t>productive inves</w:t>
      </w:r>
      <w:r>
        <w:rPr>
          <w:rFonts w:cs="Times New Roman"/>
        </w:rPr>
        <w:t>t</w:t>
      </w:r>
      <w:r w:rsidRPr="008848FD">
        <w:rPr>
          <w:rFonts w:cs="Times New Roman"/>
        </w:rPr>
        <w:t>ment</w:t>
      </w:r>
      <w:r>
        <w:rPr>
          <w:rFonts w:cs="Times New Roman"/>
        </w:rPr>
        <w:t>, and since they d</w:t>
      </w:r>
      <w:r w:rsidRPr="008848FD">
        <w:rPr>
          <w:rFonts w:cs="Times New Roman"/>
        </w:rPr>
        <w:t>epreciat</w:t>
      </w:r>
      <w:r>
        <w:rPr>
          <w:rFonts w:cs="Times New Roman"/>
        </w:rPr>
        <w:t xml:space="preserve">e much </w:t>
      </w:r>
      <w:r w:rsidRPr="008848FD">
        <w:rPr>
          <w:rFonts w:cs="Times New Roman"/>
        </w:rPr>
        <w:t xml:space="preserve">more rapid than </w:t>
      </w:r>
      <w:r>
        <w:rPr>
          <w:rFonts w:cs="Times New Roman"/>
        </w:rPr>
        <w:t xml:space="preserve">do </w:t>
      </w:r>
      <w:r w:rsidRPr="008848FD">
        <w:rPr>
          <w:rFonts w:cs="Times New Roman"/>
        </w:rPr>
        <w:t>most other fixed assets, the shift in investment led to a rapid rise in the overall rate of depreciation.</w:t>
      </w:r>
    </w:p>
    <w:p w:rsidR="003B2B35" w:rsidRPr="008848FD" w:rsidRDefault="003B2B35" w:rsidP="00B12D7B">
      <w:pPr>
        <w:widowControl/>
        <w:suppressAutoHyphens w:val="0"/>
        <w:spacing w:line="720" w:lineRule="auto"/>
        <w:contextualSpacing/>
        <w:rPr>
          <w:rFonts w:cs="Times New Roman"/>
        </w:rPr>
      </w:pPr>
    </w:p>
    <w:p w:rsidR="00EC4F87" w:rsidRPr="008848FD" w:rsidRDefault="00EC4F87" w:rsidP="00B12D7B">
      <w:pPr>
        <w:widowControl/>
        <w:suppressAutoHyphens w:val="0"/>
        <w:contextualSpacing/>
        <w:rPr>
          <w:rFonts w:cs="Times New Roman"/>
          <w:b/>
        </w:rPr>
      </w:pPr>
      <w:r w:rsidRPr="008848FD">
        <w:rPr>
          <w:rFonts w:cs="Times New Roman"/>
          <w:b/>
        </w:rPr>
        <w:t xml:space="preserve">Figure </w:t>
      </w:r>
      <w:r w:rsidR="00B80839">
        <w:rPr>
          <w:rFonts w:cs="Times New Roman"/>
          <w:b/>
        </w:rPr>
        <w:t>12</w:t>
      </w:r>
      <w:r w:rsidRPr="008848FD">
        <w:rPr>
          <w:rFonts w:cs="Times New Roman"/>
          <w:b/>
        </w:rPr>
        <w:t>. Rate of Depreciation, U.S. Corporations</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(depreciation as percentage of cost of net stock of fixed assets) </w:t>
      </w:r>
    </w:p>
    <w:p w:rsidR="00EC4F87" w:rsidRPr="00A737A7" w:rsidRDefault="00EC4F87" w:rsidP="00B12D7B">
      <w:pPr>
        <w:widowControl/>
        <w:suppressAutoHyphens w:val="0"/>
        <w:spacing w:line="480" w:lineRule="auto"/>
        <w:contextualSpacing/>
        <w:rPr>
          <w:rFonts w:cs="Times New Roman"/>
        </w:rPr>
      </w:pPr>
      <w:r w:rsidRPr="002C651F">
        <w:rPr>
          <w:rFonts w:cs="Times New Roman"/>
          <w:noProof/>
          <w:lang w:eastAsia="en-US" w:bidi="ar-SA"/>
        </w:rPr>
        <w:drawing>
          <wp:inline distT="0" distB="0" distL="0" distR="0" wp14:anchorId="34969EBE" wp14:editId="11549DE4">
            <wp:extent cx="5943600" cy="26098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C4F87" w:rsidRPr="008848FD" w:rsidRDefault="00EC4F87" w:rsidP="00B12D7B">
      <w:pPr>
        <w:widowControl/>
        <w:suppressAutoHyphens w:val="0"/>
        <w:spacing w:line="720" w:lineRule="auto"/>
        <w:contextualSpacing/>
        <w:rPr>
          <w:rFonts w:cs="Times New Roman"/>
          <w:b/>
        </w:rPr>
      </w:pPr>
    </w:p>
    <w:p w:rsidR="00EC4F87" w:rsidRPr="00A737A7" w:rsidRDefault="008D5ED9" w:rsidP="00B12D7B">
      <w:pPr>
        <w:widowControl/>
        <w:suppressAutoHyphens w:val="0"/>
        <w:spacing w:line="480" w:lineRule="auto"/>
        <w:ind w:firstLine="706"/>
        <w:contextualSpacing/>
        <w:rPr>
          <w:rFonts w:cs="Times New Roman"/>
        </w:rPr>
      </w:pPr>
      <w:r w:rsidRPr="008848FD">
        <w:rPr>
          <w:rFonts w:cs="Times New Roman"/>
        </w:rPr>
        <w:t>N</w:t>
      </w:r>
      <w:r w:rsidR="00EC4F87" w:rsidRPr="008848FD">
        <w:rPr>
          <w:rFonts w:cs="Times New Roman"/>
        </w:rPr>
        <w:t>eoliberali</w:t>
      </w:r>
      <w:r w:rsidRPr="008848FD">
        <w:rPr>
          <w:rFonts w:cs="Times New Roman"/>
        </w:rPr>
        <w:t xml:space="preserve">sm </w:t>
      </w:r>
      <w:r w:rsidR="00EC4F87" w:rsidRPr="008848FD">
        <w:rPr>
          <w:rFonts w:cs="Times New Roman"/>
        </w:rPr>
        <w:t xml:space="preserve">and financialization are </w:t>
      </w:r>
      <w:r w:rsidRPr="008848FD">
        <w:rPr>
          <w:rFonts w:cs="Times New Roman"/>
        </w:rPr>
        <w:t xml:space="preserve">obviously </w:t>
      </w:r>
      <w:r w:rsidR="00EC4F87" w:rsidRPr="008848FD">
        <w:rPr>
          <w:rFonts w:cs="Times New Roman"/>
        </w:rPr>
        <w:t>not responsible for th</w:t>
      </w:r>
      <w:r w:rsidR="00C93DFD">
        <w:rPr>
          <w:rFonts w:cs="Times New Roman"/>
        </w:rPr>
        <w:t>is</w:t>
      </w:r>
      <w:r w:rsidR="00EC4F87" w:rsidRPr="008848FD">
        <w:rPr>
          <w:rFonts w:cs="Times New Roman"/>
        </w:rPr>
        <w:t xml:space="preserve"> increase in the rate of depreciation. Thus, in order to validly assess whether they have led to a diversion of profit from productive investment toward financial uses, we have to abstract from the increase in the rate of depreciation, control for its effects. We have done so by </w:t>
      </w:r>
      <w:r w:rsidR="00E6453F">
        <w:rPr>
          <w:rFonts w:cs="Times New Roman"/>
        </w:rPr>
        <w:t xml:space="preserve">adding depreciation to both net investment and profit. The resulting investment shares, gross investment as a percentage of what may be called </w:t>
      </w:r>
      <w:r w:rsidR="0071600A">
        <w:rPr>
          <w:rFonts w:cs="Times New Roman"/>
        </w:rPr>
        <w:t>“</w:t>
      </w:r>
      <w:r w:rsidR="00E6453F">
        <w:rPr>
          <w:rFonts w:cs="Times New Roman"/>
        </w:rPr>
        <w:t>gross profit</w:t>
      </w:r>
      <w:r w:rsidR="0071600A">
        <w:rPr>
          <w:rFonts w:cs="Times New Roman"/>
        </w:rPr>
        <w:t>”</w:t>
      </w:r>
      <w:r w:rsidR="00E6453F">
        <w:rPr>
          <w:rFonts w:cs="Times New Roman"/>
        </w:rPr>
        <w:t xml:space="preserve"> (profit plus depreciation), are the </w:t>
      </w:r>
      <w:r w:rsidR="00E6453F" w:rsidRPr="00A737A7">
        <w:rPr>
          <w:rFonts w:cs="Times New Roman"/>
        </w:rPr>
        <w:t xml:space="preserve">same </w:t>
      </w:r>
      <w:r w:rsidR="00E6453F">
        <w:rPr>
          <w:rFonts w:cs="Times New Roman"/>
        </w:rPr>
        <w:t>when</w:t>
      </w:r>
      <w:r w:rsidR="00E6453F" w:rsidRPr="00A737A7">
        <w:rPr>
          <w:rFonts w:cs="Times New Roman"/>
        </w:rPr>
        <w:t xml:space="preserve"> net investment and profit </w:t>
      </w:r>
      <w:r w:rsidR="00E6453F" w:rsidRPr="008848FD">
        <w:rPr>
          <w:rFonts w:cs="Times New Roman"/>
        </w:rPr>
        <w:t xml:space="preserve">are valued at </w:t>
      </w:r>
      <w:r w:rsidR="00E6453F">
        <w:rPr>
          <w:rFonts w:cs="Times New Roman"/>
        </w:rPr>
        <w:t>current</w:t>
      </w:r>
      <w:r w:rsidR="00E6453F" w:rsidRPr="008848FD">
        <w:rPr>
          <w:rFonts w:cs="Times New Roman"/>
        </w:rPr>
        <w:t xml:space="preserve"> cost </w:t>
      </w:r>
      <w:r w:rsidR="00E6453F">
        <w:rPr>
          <w:rFonts w:cs="Times New Roman"/>
        </w:rPr>
        <w:t>as when they are valued at c</w:t>
      </w:r>
      <w:r w:rsidR="00E6453F" w:rsidRPr="008848FD">
        <w:rPr>
          <w:rFonts w:cs="Times New Roman"/>
        </w:rPr>
        <w:t xml:space="preserve">urrent cost. </w:t>
      </w:r>
      <w:r w:rsidR="00E6453F">
        <w:rPr>
          <w:rFonts w:cs="Times New Roman"/>
        </w:rPr>
        <w:t xml:space="preserve">One investment share, </w:t>
      </w:r>
      <w:r w:rsidR="00E6453F">
        <w:rPr>
          <w:rFonts w:cs="Times New Roman"/>
        </w:rPr>
        <w:lastRenderedPageBreak/>
        <w:t xml:space="preserve">gross investment as a percentage of gross operating surplus, is </w:t>
      </w:r>
      <w:r w:rsidR="00CF04FD">
        <w:rPr>
          <w:rFonts w:cs="Times New Roman"/>
        </w:rPr>
        <w:t xml:space="preserve">very similar to the </w:t>
      </w:r>
      <w:r w:rsidR="00E6453F">
        <w:rPr>
          <w:rFonts w:cs="Times New Roman"/>
        </w:rPr>
        <w:t>measure that Stockhammer reported</w:t>
      </w:r>
      <w:r w:rsidR="00CF04FD">
        <w:rPr>
          <w:rFonts w:cs="Times New Roman"/>
        </w:rPr>
        <w:t xml:space="preserve">; the main difference is </w:t>
      </w:r>
      <w:r w:rsidR="00E6453F">
        <w:rPr>
          <w:rFonts w:cs="Times New Roman"/>
        </w:rPr>
        <w:t>that ours pertains to corporations rather than to the total economy.</w:t>
      </w:r>
    </w:p>
    <w:p w:rsidR="00EC4F87" w:rsidRDefault="00B80839" w:rsidP="00B12D7B">
      <w:pPr>
        <w:widowControl/>
        <w:suppressAutoHyphens w:val="0"/>
        <w:spacing w:line="480" w:lineRule="auto"/>
        <w:contextualSpacing/>
        <w:rPr>
          <w:rFonts w:cs="Times New Roman"/>
        </w:rPr>
      </w:pPr>
      <w:r>
        <w:rPr>
          <w:rFonts w:cs="Times New Roman"/>
        </w:rPr>
        <w:tab/>
      </w:r>
      <w:r w:rsidR="00EC4F87" w:rsidRPr="008848FD">
        <w:rPr>
          <w:rFonts w:cs="Times New Roman"/>
        </w:rPr>
        <w:t xml:space="preserve">The results of this exercise are presented in Figure </w:t>
      </w:r>
      <w:r>
        <w:rPr>
          <w:rFonts w:cs="Times New Roman"/>
        </w:rPr>
        <w:t>13</w:t>
      </w:r>
      <w:r w:rsidR="00EC4F87" w:rsidRPr="008848FD">
        <w:rPr>
          <w:rFonts w:cs="Times New Roman"/>
        </w:rPr>
        <w:t xml:space="preserve"> and Table </w:t>
      </w:r>
      <w:r>
        <w:rPr>
          <w:rFonts w:cs="Times New Roman"/>
        </w:rPr>
        <w:t>4</w:t>
      </w:r>
      <w:r w:rsidR="00EC4F87" w:rsidRPr="008848FD">
        <w:rPr>
          <w:rFonts w:cs="Times New Roman"/>
        </w:rPr>
        <w:t xml:space="preserve">. </w:t>
      </w:r>
      <w:r w:rsidR="00827403">
        <w:rPr>
          <w:rFonts w:cs="Times New Roman"/>
        </w:rPr>
        <w:t>A</w:t>
      </w:r>
      <w:r w:rsidR="00EC4F87" w:rsidRPr="008848FD">
        <w:rPr>
          <w:rFonts w:cs="Times New Roman"/>
        </w:rPr>
        <w:t xml:space="preserve">ll four investment shares are higher during </w:t>
      </w:r>
      <w:r w:rsidR="00827403">
        <w:rPr>
          <w:rFonts w:cs="Times New Roman"/>
        </w:rPr>
        <w:t>the neoliberal period––including the years after 2001––t</w:t>
      </w:r>
      <w:r w:rsidR="00EC4F87" w:rsidRPr="008848FD">
        <w:rPr>
          <w:rFonts w:cs="Times New Roman"/>
        </w:rPr>
        <w:t xml:space="preserve">han before it. </w:t>
      </w:r>
      <w:r w:rsidR="00827403">
        <w:rPr>
          <w:rFonts w:cs="Times New Roman"/>
        </w:rPr>
        <w:t xml:space="preserve">And three of the four investment shares exceed their 1949–1971 levels even during </w:t>
      </w:r>
      <w:r w:rsidR="00F36C4F">
        <w:rPr>
          <w:rFonts w:cs="Times New Roman"/>
        </w:rPr>
        <w:t>the 2002</w:t>
      </w:r>
      <w:r w:rsidR="00827403">
        <w:rPr>
          <w:rFonts w:cs="Times New Roman"/>
        </w:rPr>
        <w:t xml:space="preserve">–2007 period, while </w:t>
      </w:r>
      <w:r w:rsidR="00A50749">
        <w:rPr>
          <w:rFonts w:cs="Times New Roman"/>
        </w:rPr>
        <w:t xml:space="preserve">the investment share of gross after-tax profit fell short of its 1949–1971 level by </w:t>
      </w:r>
      <w:r w:rsidR="00C93DFD">
        <w:rPr>
          <w:rFonts w:cs="Times New Roman"/>
        </w:rPr>
        <w:t>only</w:t>
      </w:r>
      <w:r w:rsidR="00A50749">
        <w:rPr>
          <w:rFonts w:cs="Times New Roman"/>
        </w:rPr>
        <w:t xml:space="preserve"> two percentage points. Thus, </w:t>
      </w:r>
      <w:r w:rsidR="00C93DFD">
        <w:rPr>
          <w:rFonts w:cs="Times New Roman"/>
        </w:rPr>
        <w:t xml:space="preserve">the fall in the investment shares over the whole 1981–2007 </w:t>
      </w:r>
    </w:p>
    <w:p w:rsidR="00B80839" w:rsidRDefault="00B80839" w:rsidP="00B12D7B">
      <w:pPr>
        <w:widowControl/>
        <w:suppressAutoHyphens w:val="0"/>
        <w:spacing w:line="480" w:lineRule="auto"/>
        <w:contextualSpacing/>
        <w:rPr>
          <w:rFonts w:cs="Times New Roman"/>
        </w:rPr>
      </w:pPr>
    </w:p>
    <w:p w:rsidR="00B80839" w:rsidRDefault="00B80839" w:rsidP="00B12D7B">
      <w:pPr>
        <w:widowControl/>
        <w:suppressAutoHyphens w:val="0"/>
        <w:spacing w:line="480" w:lineRule="auto"/>
        <w:contextualSpacing/>
        <w:rPr>
          <w:rFonts w:cs="Times New Roman"/>
        </w:rPr>
      </w:pPr>
    </w:p>
    <w:p w:rsidR="00EC4F87" w:rsidRPr="008848FD" w:rsidRDefault="00EC4F87" w:rsidP="00B12D7B">
      <w:pPr>
        <w:widowControl/>
        <w:suppressAutoHyphens w:val="0"/>
        <w:contextualSpacing/>
        <w:rPr>
          <w:rFonts w:cs="Times New Roman"/>
          <w:b/>
        </w:rPr>
      </w:pPr>
      <w:r w:rsidRPr="008848FD">
        <w:rPr>
          <w:rFonts w:cs="Times New Roman"/>
          <w:b/>
        </w:rPr>
        <w:t xml:space="preserve">Figure </w:t>
      </w:r>
      <w:r w:rsidR="00B80839">
        <w:rPr>
          <w:rFonts w:cs="Times New Roman"/>
          <w:b/>
        </w:rPr>
        <w:t>13</w:t>
      </w:r>
      <w:r w:rsidRPr="008848FD">
        <w:rPr>
          <w:rFonts w:cs="Times New Roman"/>
          <w:b/>
        </w:rPr>
        <w:t xml:space="preserve">. </w:t>
      </w:r>
      <w:r w:rsidR="0065742D">
        <w:rPr>
          <w:rFonts w:cs="Times New Roman"/>
          <w:b/>
        </w:rPr>
        <w:t xml:space="preserve">Gross </w:t>
      </w:r>
      <w:r w:rsidRPr="008848FD">
        <w:rPr>
          <w:rFonts w:cs="Times New Roman"/>
          <w:b/>
        </w:rPr>
        <w:t xml:space="preserve">Investment Shares of </w:t>
      </w:r>
      <w:r w:rsidR="0065742D">
        <w:rPr>
          <w:rFonts w:cs="Times New Roman"/>
          <w:b/>
        </w:rPr>
        <w:t xml:space="preserve">Gross </w:t>
      </w:r>
      <w:r w:rsidRPr="008848FD">
        <w:rPr>
          <w:rFonts w:cs="Times New Roman"/>
          <w:b/>
        </w:rPr>
        <w:t>Profit, U.S. Corporations</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(as percentage</w:t>
      </w:r>
      <w:r w:rsidR="0065742D">
        <w:rPr>
          <w:rFonts w:eastAsia="Times New Roman" w:cs="Times New Roman"/>
        </w:rPr>
        <w:t xml:space="preserve">s </w:t>
      </w:r>
      <w:r w:rsidRPr="008848FD">
        <w:rPr>
          <w:rFonts w:eastAsia="Times New Roman" w:cs="Times New Roman"/>
        </w:rPr>
        <w:t xml:space="preserve">of 1949–1971 averages; </w:t>
      </w:r>
      <w:r w:rsidR="0065742D">
        <w:rPr>
          <w:rFonts w:eastAsia="Times New Roman" w:cs="Times New Roman"/>
        </w:rPr>
        <w:t xml:space="preserve">gross </w:t>
      </w:r>
      <w:r w:rsidRPr="008848FD">
        <w:rPr>
          <w:rFonts w:eastAsia="Times New Roman" w:cs="Times New Roman"/>
        </w:rPr>
        <w:t xml:space="preserve">investment as percentage of </w:t>
      </w:r>
      <w:r w:rsidR="0065742D">
        <w:rPr>
          <w:rFonts w:eastAsia="Times New Roman" w:cs="Times New Roman"/>
        </w:rPr>
        <w:t>gross profit two years earlier)</w:t>
      </w:r>
      <w:r w:rsidRPr="008848FD">
        <w:rPr>
          <w:rFonts w:eastAsia="Times New Roman" w:cs="Times New Roman"/>
        </w:rPr>
        <w:t xml:space="preserve"> </w:t>
      </w:r>
      <w:r w:rsidR="0065742D">
        <w:rPr>
          <w:noProof/>
          <w:lang w:eastAsia="en-US" w:bidi="ar-SA"/>
        </w:rPr>
        <w:drawing>
          <wp:inline distT="0" distB="0" distL="0" distR="0" wp14:anchorId="7639F683" wp14:editId="28B2F2C2">
            <wp:extent cx="5943600" cy="38957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848FD">
        <w:rPr>
          <w:rFonts w:eastAsia="Times New Roman" w:cs="Times New Roman"/>
        </w:rPr>
        <w:t xml:space="preserve"> </w:t>
      </w:r>
    </w:p>
    <w:p w:rsidR="00EC4F87" w:rsidRPr="008848FD" w:rsidRDefault="00EC4F87" w:rsidP="00B12D7B">
      <w:pPr>
        <w:pStyle w:val="WW-Default"/>
        <w:suppressAutoHyphens w:val="0"/>
        <w:spacing w:line="720" w:lineRule="auto"/>
        <w:contextualSpacing/>
      </w:pPr>
    </w:p>
    <w:tbl>
      <w:tblPr>
        <w:tblW w:w="9375" w:type="dxa"/>
        <w:tblInd w:w="93" w:type="dxa"/>
        <w:tblLayout w:type="fixed"/>
        <w:tblLook w:val="04A0" w:firstRow="1" w:lastRow="0" w:firstColumn="1" w:lastColumn="0" w:noHBand="0" w:noVBand="1"/>
      </w:tblPr>
      <w:tblGrid>
        <w:gridCol w:w="1095"/>
        <w:gridCol w:w="920"/>
        <w:gridCol w:w="920"/>
        <w:gridCol w:w="920"/>
        <w:gridCol w:w="920"/>
        <w:gridCol w:w="920"/>
        <w:gridCol w:w="460"/>
        <w:gridCol w:w="460"/>
        <w:gridCol w:w="920"/>
        <w:gridCol w:w="920"/>
        <w:gridCol w:w="920"/>
      </w:tblGrid>
      <w:tr w:rsidR="00EC4F87" w:rsidRPr="008848FD" w:rsidTr="00EC4F87">
        <w:trPr>
          <w:trHeight w:val="180"/>
        </w:trPr>
        <w:tc>
          <w:tcPr>
            <w:tcW w:w="9375" w:type="dxa"/>
            <w:gridSpan w:val="11"/>
            <w:shd w:val="clear" w:color="auto" w:fill="auto"/>
            <w:noWrap/>
            <w:vAlign w:val="bottom"/>
          </w:tcPr>
          <w:p w:rsidR="00EC4F87" w:rsidRPr="008848FD" w:rsidRDefault="00EC4F87" w:rsidP="00B12D7B">
            <w:pPr>
              <w:widowControl/>
              <w:suppressAutoHyphens w:val="0"/>
              <w:contextualSpacing/>
              <w:rPr>
                <w:rFonts w:eastAsia="Times New Roman" w:cs="Times New Roman"/>
                <w:b/>
              </w:rPr>
            </w:pPr>
            <w:r w:rsidRPr="008848FD">
              <w:rPr>
                <w:rFonts w:eastAsia="Times New Roman" w:cs="Times New Roman"/>
                <w:b/>
              </w:rPr>
              <w:lastRenderedPageBreak/>
              <w:t xml:space="preserve">Table </w:t>
            </w:r>
            <w:r w:rsidR="00B80839">
              <w:rPr>
                <w:rFonts w:eastAsia="Times New Roman" w:cs="Times New Roman"/>
                <w:b/>
              </w:rPr>
              <w:t>4</w:t>
            </w:r>
            <w:r w:rsidRPr="008848FD">
              <w:rPr>
                <w:rFonts w:eastAsia="Times New Roman" w:cs="Times New Roman"/>
                <w:b/>
              </w:rPr>
              <w:t xml:space="preserve">. </w:t>
            </w:r>
            <w:r w:rsidR="00827403">
              <w:rPr>
                <w:rFonts w:eastAsia="Times New Roman" w:cs="Times New Roman"/>
                <w:b/>
              </w:rPr>
              <w:t>Gross</w:t>
            </w:r>
            <w:r w:rsidRPr="008848FD">
              <w:rPr>
                <w:rFonts w:eastAsia="Times New Roman" w:cs="Times New Roman"/>
                <w:b/>
              </w:rPr>
              <w:t xml:space="preserve"> Investment Shares of </w:t>
            </w:r>
            <w:r w:rsidR="00AC7A8B">
              <w:rPr>
                <w:rFonts w:eastAsia="Times New Roman" w:cs="Times New Roman"/>
                <w:b/>
              </w:rPr>
              <w:t>Gross</w:t>
            </w:r>
            <w:r w:rsidR="00827403">
              <w:rPr>
                <w:rFonts w:eastAsia="Times New Roman" w:cs="Times New Roman"/>
                <w:b/>
              </w:rPr>
              <w:t xml:space="preserve"> </w:t>
            </w:r>
            <w:r w:rsidRPr="008848FD">
              <w:rPr>
                <w:rFonts w:eastAsia="Times New Roman" w:cs="Times New Roman"/>
                <w:b/>
              </w:rPr>
              <w:t xml:space="preserve">Profit, U.S. Corporations </w:t>
            </w:r>
          </w:p>
          <w:p w:rsidR="00EC4F87" w:rsidRPr="00A737A7" w:rsidRDefault="00EC4F87" w:rsidP="00B12D7B">
            <w:pPr>
              <w:widowControl/>
              <w:suppressAutoHyphens w:val="0"/>
              <w:contextualSpacing/>
              <w:rPr>
                <w:rFonts w:eastAsia="Times New Roman" w:cs="Times New Roman"/>
              </w:rPr>
            </w:pPr>
            <w:r w:rsidRPr="008848FD">
              <w:rPr>
                <w:rFonts w:eastAsia="Times New Roman" w:cs="Times New Roman"/>
              </w:rPr>
              <w:t>(</w:t>
            </w:r>
            <w:r w:rsidR="00827403">
              <w:rPr>
                <w:rFonts w:eastAsia="Times New Roman" w:cs="Times New Roman"/>
              </w:rPr>
              <w:t>gross</w:t>
            </w:r>
            <w:r w:rsidRPr="008848FD">
              <w:rPr>
                <w:rFonts w:eastAsia="Times New Roman" w:cs="Times New Roman"/>
              </w:rPr>
              <w:t xml:space="preserve"> investment as percentage of </w:t>
            </w:r>
            <w:r w:rsidR="00827403">
              <w:rPr>
                <w:rFonts w:eastAsia="Times New Roman" w:cs="Times New Roman"/>
              </w:rPr>
              <w:t>gross</w:t>
            </w:r>
            <w:r w:rsidR="00D01B6C">
              <w:rPr>
                <w:rFonts w:eastAsia="Times New Roman" w:cs="Times New Roman"/>
              </w:rPr>
              <w:t xml:space="preserve"> </w:t>
            </w:r>
            <w:r w:rsidRPr="00A737A7">
              <w:rPr>
                <w:rFonts w:eastAsia="Times New Roman" w:cs="Times New Roman"/>
              </w:rPr>
              <w:t xml:space="preserve">profit two years earlier) </w:t>
            </w:r>
          </w:p>
          <w:p w:rsidR="00EC4F87" w:rsidRPr="008848FD" w:rsidRDefault="00EC4F87" w:rsidP="00B12D7B">
            <w:pPr>
              <w:widowControl/>
              <w:suppressAutoHyphens w:val="0"/>
              <w:contextualSpacing/>
              <w:rPr>
                <w:rFonts w:eastAsia="Times New Roman" w:cs="Times New Roman"/>
              </w:rPr>
            </w:pPr>
          </w:p>
        </w:tc>
      </w:tr>
      <w:tr w:rsidR="00EC4F87" w:rsidRPr="008848FD" w:rsidTr="00EC4F87">
        <w:trPr>
          <w:trHeight w:val="180"/>
        </w:trPr>
        <w:tc>
          <w:tcPr>
            <w:tcW w:w="1095" w:type="dxa"/>
            <w:tcBorders>
              <w:bottom w:val="single" w:sz="4" w:space="0" w:color="auto"/>
              <w:right w:val="single" w:sz="4" w:space="0" w:color="auto"/>
            </w:tcBorders>
            <w:shd w:val="clear" w:color="auto" w:fill="auto"/>
            <w:noWrap/>
            <w:tcMar>
              <w:left w:w="0" w:type="dxa"/>
              <w:right w:w="0" w:type="dxa"/>
            </w:tcMar>
            <w:vAlign w:val="bottom"/>
            <w:hideMark/>
          </w:tcPr>
          <w:p w:rsidR="00EC4F87" w:rsidRPr="008848FD" w:rsidRDefault="00EC4F87" w:rsidP="00B12D7B">
            <w:pPr>
              <w:widowControl/>
              <w:suppressAutoHyphens w:val="0"/>
              <w:contextualSpacing/>
              <w:jc w:val="center"/>
              <w:rPr>
                <w:rFonts w:eastAsia="Times New Roman" w:cs="Times New Roman"/>
              </w:rPr>
            </w:pPr>
            <w:r w:rsidRPr="008848FD">
              <w:rPr>
                <w:rFonts w:eastAsia="Times New Roman" w:cs="Times New Roman"/>
              </w:rPr>
              <w:t>profit measure</w:t>
            </w:r>
            <w:r w:rsidRPr="000E234D">
              <w:rPr>
                <w:rFonts w:eastAsia="Times New Roman" w:cs="Times New Roman"/>
                <w:sz w:val="16"/>
                <w:szCs w:val="16"/>
              </w:rPr>
              <w:t xml:space="preserve"> </w:t>
            </w:r>
            <w:r w:rsidRPr="00A737A7">
              <w:rPr>
                <w:rFonts w:eastAsia="Times New Roman" w:cs="Times New Roman"/>
                <w:vertAlign w:val="superscript"/>
              </w:rPr>
              <w:t>1</w:t>
            </w:r>
          </w:p>
        </w:tc>
        <w:tc>
          <w:tcPr>
            <w:tcW w:w="920" w:type="dxa"/>
            <w:tcBorders>
              <w:left w:val="single" w:sz="4" w:space="0" w:color="auto"/>
              <w:bottom w:val="single" w:sz="4" w:space="0" w:color="auto"/>
            </w:tcBorders>
            <w:shd w:val="clear" w:color="auto" w:fill="auto"/>
            <w:noWrap/>
            <w:vAlign w:val="bottom"/>
            <w:hideMark/>
          </w:tcPr>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1949–  </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1971</w:t>
            </w:r>
          </w:p>
        </w:tc>
        <w:tc>
          <w:tcPr>
            <w:tcW w:w="920" w:type="dxa"/>
            <w:tcBorders>
              <w:bottom w:val="single" w:sz="4" w:space="0" w:color="auto"/>
            </w:tcBorders>
            <w:shd w:val="clear" w:color="auto" w:fill="auto"/>
            <w:noWrap/>
            <w:vAlign w:val="bottom"/>
            <w:hideMark/>
          </w:tcPr>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1972–</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1980</w:t>
            </w:r>
          </w:p>
        </w:tc>
        <w:tc>
          <w:tcPr>
            <w:tcW w:w="920" w:type="dxa"/>
            <w:tcBorders>
              <w:bottom w:val="single" w:sz="4" w:space="0" w:color="auto"/>
            </w:tcBorders>
            <w:shd w:val="clear" w:color="auto" w:fill="auto"/>
            <w:noWrap/>
            <w:vAlign w:val="bottom"/>
            <w:hideMark/>
          </w:tcPr>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1985</w:t>
            </w:r>
          </w:p>
        </w:tc>
        <w:tc>
          <w:tcPr>
            <w:tcW w:w="920" w:type="dxa"/>
            <w:tcBorders>
              <w:bottom w:val="single" w:sz="4" w:space="0" w:color="auto"/>
            </w:tcBorders>
            <w:shd w:val="clear" w:color="auto" w:fill="auto"/>
            <w:noWrap/>
            <w:vAlign w:val="bottom"/>
            <w:hideMark/>
          </w:tcPr>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1986–</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2001</w:t>
            </w:r>
          </w:p>
        </w:tc>
        <w:tc>
          <w:tcPr>
            <w:tcW w:w="920" w:type="dxa"/>
            <w:tcBorders>
              <w:bottom w:val="single" w:sz="4" w:space="0" w:color="auto"/>
            </w:tcBorders>
            <w:shd w:val="clear" w:color="auto" w:fill="auto"/>
            <w:noWrap/>
            <w:vAlign w:val="bottom"/>
            <w:hideMark/>
          </w:tcPr>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2002–</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2007</w:t>
            </w:r>
          </w:p>
        </w:tc>
        <w:tc>
          <w:tcPr>
            <w:tcW w:w="460" w:type="dxa"/>
            <w:tcBorders>
              <w:bottom w:val="single" w:sz="4" w:space="0" w:color="auto"/>
              <w:right w:val="single" w:sz="4" w:space="0" w:color="auto"/>
            </w:tcBorders>
          </w:tcPr>
          <w:p w:rsidR="00EC4F87" w:rsidRPr="008848FD" w:rsidRDefault="00EC4F87" w:rsidP="00B12D7B">
            <w:pPr>
              <w:widowControl/>
              <w:suppressAutoHyphens w:val="0"/>
              <w:contextualSpacing/>
              <w:rPr>
                <w:rFonts w:eastAsia="Times New Roman" w:cs="Times New Roman"/>
              </w:rPr>
            </w:pPr>
          </w:p>
        </w:tc>
        <w:tc>
          <w:tcPr>
            <w:tcW w:w="460" w:type="dxa"/>
            <w:tcBorders>
              <w:left w:val="single" w:sz="4" w:space="0" w:color="auto"/>
              <w:bottom w:val="single" w:sz="4" w:space="0" w:color="auto"/>
            </w:tcBorders>
          </w:tcPr>
          <w:p w:rsidR="00EC4F87" w:rsidRPr="008848FD" w:rsidRDefault="00EC4F87" w:rsidP="00B12D7B">
            <w:pPr>
              <w:widowControl/>
              <w:suppressAutoHyphens w:val="0"/>
              <w:contextualSpacing/>
              <w:rPr>
                <w:rFonts w:eastAsia="Times New Roman" w:cs="Times New Roman"/>
              </w:rPr>
            </w:pPr>
          </w:p>
        </w:tc>
        <w:tc>
          <w:tcPr>
            <w:tcW w:w="920" w:type="dxa"/>
            <w:tcBorders>
              <w:bottom w:val="single" w:sz="4" w:space="0" w:color="auto"/>
            </w:tcBorders>
            <w:shd w:val="clear" w:color="auto" w:fill="auto"/>
            <w:noWrap/>
            <w:vAlign w:val="bottom"/>
            <w:hideMark/>
          </w:tcPr>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1949–</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1980</w:t>
            </w:r>
          </w:p>
        </w:tc>
        <w:tc>
          <w:tcPr>
            <w:tcW w:w="920" w:type="dxa"/>
            <w:tcBorders>
              <w:bottom w:val="single" w:sz="4" w:space="0" w:color="auto"/>
            </w:tcBorders>
            <w:shd w:val="clear" w:color="auto" w:fill="auto"/>
            <w:noWrap/>
            <w:vAlign w:val="bottom"/>
            <w:hideMark/>
          </w:tcPr>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2001</w:t>
            </w:r>
          </w:p>
        </w:tc>
        <w:tc>
          <w:tcPr>
            <w:tcW w:w="920" w:type="dxa"/>
            <w:tcBorders>
              <w:bottom w:val="single" w:sz="4" w:space="0" w:color="auto"/>
            </w:tcBorders>
            <w:shd w:val="clear" w:color="auto" w:fill="auto"/>
            <w:noWrap/>
            <w:vAlign w:val="bottom"/>
            <w:hideMark/>
          </w:tcPr>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1981–</w:t>
            </w: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rPr>
              <w:t xml:space="preserve"> 2007</w:t>
            </w:r>
          </w:p>
        </w:tc>
      </w:tr>
      <w:tr w:rsidR="0013744C" w:rsidRPr="008848FD" w:rsidTr="00AC7A8B">
        <w:trPr>
          <w:trHeight w:val="323"/>
        </w:trPr>
        <w:tc>
          <w:tcPr>
            <w:tcW w:w="1095" w:type="dxa"/>
            <w:tcBorders>
              <w:top w:val="single" w:sz="4" w:space="0" w:color="auto"/>
              <w:right w:val="single" w:sz="4" w:space="0" w:color="auto"/>
            </w:tcBorders>
            <w:shd w:val="clear" w:color="auto" w:fill="auto"/>
            <w:noWrap/>
            <w:vAlign w:val="bottom"/>
            <w:hideMark/>
          </w:tcPr>
          <w:p w:rsidR="0013744C" w:rsidRPr="008848FD" w:rsidRDefault="0013744C" w:rsidP="00B12D7B">
            <w:pPr>
              <w:widowControl/>
              <w:suppressAutoHyphens w:val="0"/>
              <w:contextualSpacing/>
              <w:jc w:val="center"/>
              <w:rPr>
                <w:rFonts w:eastAsia="Times New Roman" w:cs="Times New Roman"/>
              </w:rPr>
            </w:pPr>
            <w:r>
              <w:rPr>
                <w:rFonts w:eastAsia="Times New Roman" w:cs="Times New Roman"/>
              </w:rPr>
              <w:t>G</w:t>
            </w:r>
            <w:r w:rsidRPr="008848FD">
              <w:rPr>
                <w:rFonts w:eastAsia="Times New Roman" w:cs="Times New Roman"/>
              </w:rPr>
              <w:t>PI</w:t>
            </w:r>
          </w:p>
        </w:tc>
        <w:tc>
          <w:tcPr>
            <w:tcW w:w="920" w:type="dxa"/>
            <w:tcBorders>
              <w:top w:val="single" w:sz="4" w:space="0" w:color="auto"/>
              <w:left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39%</w:t>
            </w:r>
          </w:p>
        </w:tc>
        <w:tc>
          <w:tcPr>
            <w:tcW w:w="920" w:type="dxa"/>
            <w:tcBorders>
              <w:top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Pr>
                <w:rFonts w:cs="Times New Roman"/>
              </w:rPr>
              <w:t xml:space="preserve"> </w:t>
            </w:r>
            <w:r w:rsidRPr="000E234D">
              <w:rPr>
                <w:rFonts w:cs="Times New Roman"/>
              </w:rPr>
              <w:t>55%</w:t>
            </w:r>
          </w:p>
        </w:tc>
        <w:tc>
          <w:tcPr>
            <w:tcW w:w="920" w:type="dxa"/>
            <w:tcBorders>
              <w:top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Pr>
                <w:rFonts w:cs="Times New Roman"/>
              </w:rPr>
              <w:t xml:space="preserve"> </w:t>
            </w:r>
            <w:r w:rsidRPr="000E234D">
              <w:rPr>
                <w:rFonts w:cs="Times New Roman"/>
              </w:rPr>
              <w:t>57%</w:t>
            </w:r>
          </w:p>
        </w:tc>
        <w:tc>
          <w:tcPr>
            <w:tcW w:w="920" w:type="dxa"/>
            <w:tcBorders>
              <w:top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48%</w:t>
            </w:r>
          </w:p>
        </w:tc>
        <w:tc>
          <w:tcPr>
            <w:tcW w:w="920" w:type="dxa"/>
            <w:tcBorders>
              <w:top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45%</w:t>
            </w:r>
          </w:p>
        </w:tc>
        <w:tc>
          <w:tcPr>
            <w:tcW w:w="460" w:type="dxa"/>
            <w:tcBorders>
              <w:right w:val="single" w:sz="4" w:space="0" w:color="auto"/>
            </w:tcBorders>
            <w:vAlign w:val="bottom"/>
          </w:tcPr>
          <w:p w:rsidR="0013744C" w:rsidRPr="0013744C" w:rsidRDefault="0013744C" w:rsidP="00B12D7B">
            <w:pPr>
              <w:widowControl/>
              <w:suppressAutoHyphens w:val="0"/>
              <w:contextualSpacing/>
              <w:jc w:val="center"/>
              <w:rPr>
                <w:rFonts w:eastAsia="Times New Roman" w:cs="Times New Roman"/>
              </w:rPr>
            </w:pPr>
          </w:p>
        </w:tc>
        <w:tc>
          <w:tcPr>
            <w:tcW w:w="460" w:type="dxa"/>
            <w:tcBorders>
              <w:left w:val="single" w:sz="4" w:space="0" w:color="auto"/>
            </w:tcBorders>
            <w:vAlign w:val="bottom"/>
          </w:tcPr>
          <w:p w:rsidR="0013744C" w:rsidRPr="0013744C" w:rsidRDefault="0013744C" w:rsidP="00B12D7B">
            <w:pPr>
              <w:widowControl/>
              <w:suppressAutoHyphens w:val="0"/>
              <w:contextualSpacing/>
              <w:jc w:val="center"/>
              <w:rPr>
                <w:rFonts w:eastAsia="Times New Roman" w:cs="Times New Roman"/>
              </w:rPr>
            </w:pPr>
          </w:p>
        </w:tc>
        <w:tc>
          <w:tcPr>
            <w:tcW w:w="920" w:type="dxa"/>
            <w:tcBorders>
              <w:top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44%</w:t>
            </w:r>
          </w:p>
        </w:tc>
        <w:tc>
          <w:tcPr>
            <w:tcW w:w="920" w:type="dxa"/>
            <w:tcBorders>
              <w:top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50%</w:t>
            </w:r>
          </w:p>
        </w:tc>
        <w:tc>
          <w:tcPr>
            <w:tcW w:w="920" w:type="dxa"/>
            <w:tcBorders>
              <w:top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49%</w:t>
            </w:r>
          </w:p>
        </w:tc>
      </w:tr>
      <w:tr w:rsidR="0013744C" w:rsidRPr="008848FD" w:rsidTr="00AC7A8B">
        <w:trPr>
          <w:trHeight w:val="117"/>
        </w:trPr>
        <w:tc>
          <w:tcPr>
            <w:tcW w:w="1095" w:type="dxa"/>
            <w:tcBorders>
              <w:right w:val="single" w:sz="4" w:space="0" w:color="auto"/>
            </w:tcBorders>
            <w:shd w:val="clear" w:color="auto" w:fill="auto"/>
            <w:noWrap/>
            <w:vAlign w:val="bottom"/>
            <w:hideMark/>
          </w:tcPr>
          <w:p w:rsidR="0013744C" w:rsidRPr="008848FD" w:rsidRDefault="0013744C" w:rsidP="00B12D7B">
            <w:pPr>
              <w:widowControl/>
              <w:suppressAutoHyphens w:val="0"/>
              <w:contextualSpacing/>
              <w:jc w:val="center"/>
              <w:rPr>
                <w:rFonts w:eastAsia="Times New Roman" w:cs="Times New Roman"/>
              </w:rPr>
            </w:pPr>
            <w:r>
              <w:rPr>
                <w:rFonts w:eastAsia="Times New Roman" w:cs="Times New Roman"/>
              </w:rPr>
              <w:t>G</w:t>
            </w:r>
            <w:r w:rsidRPr="008848FD">
              <w:rPr>
                <w:rFonts w:eastAsia="Times New Roman" w:cs="Times New Roman"/>
              </w:rPr>
              <w:t>OS</w:t>
            </w:r>
          </w:p>
        </w:tc>
        <w:tc>
          <w:tcPr>
            <w:tcW w:w="920" w:type="dxa"/>
            <w:tcBorders>
              <w:left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53%</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Pr>
                <w:rFonts w:cs="Times New Roman"/>
              </w:rPr>
              <w:t xml:space="preserve"> </w:t>
            </w:r>
            <w:r w:rsidRPr="00AC7A8B">
              <w:rPr>
                <w:rFonts w:cs="Times New Roman"/>
              </w:rPr>
              <w:t>74%</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Pr>
                <w:rFonts w:cs="Times New Roman"/>
              </w:rPr>
              <w:t xml:space="preserve"> </w:t>
            </w:r>
            <w:r w:rsidRPr="00AC7A8B">
              <w:rPr>
                <w:rFonts w:cs="Times New Roman"/>
              </w:rPr>
              <w:t>75%</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63%</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58%</w:t>
            </w:r>
          </w:p>
        </w:tc>
        <w:tc>
          <w:tcPr>
            <w:tcW w:w="460" w:type="dxa"/>
            <w:tcBorders>
              <w:right w:val="single" w:sz="4" w:space="0" w:color="auto"/>
            </w:tcBorders>
            <w:vAlign w:val="bottom"/>
          </w:tcPr>
          <w:p w:rsidR="0013744C" w:rsidRPr="0013744C" w:rsidRDefault="0013744C" w:rsidP="00B12D7B">
            <w:pPr>
              <w:widowControl/>
              <w:suppressAutoHyphens w:val="0"/>
              <w:contextualSpacing/>
              <w:jc w:val="center"/>
              <w:rPr>
                <w:rFonts w:eastAsia="Times New Roman" w:cs="Times New Roman"/>
              </w:rPr>
            </w:pPr>
          </w:p>
        </w:tc>
        <w:tc>
          <w:tcPr>
            <w:tcW w:w="460" w:type="dxa"/>
            <w:tcBorders>
              <w:left w:val="single" w:sz="4" w:space="0" w:color="auto"/>
            </w:tcBorders>
            <w:vAlign w:val="bottom"/>
          </w:tcPr>
          <w:p w:rsidR="0013744C" w:rsidRPr="0013744C" w:rsidRDefault="0013744C" w:rsidP="00B12D7B">
            <w:pPr>
              <w:widowControl/>
              <w:suppressAutoHyphens w:val="0"/>
              <w:contextualSpacing/>
              <w:jc w:val="center"/>
              <w:rPr>
                <w:rFonts w:eastAsia="Times New Roman" w:cs="Times New Roman"/>
              </w:rPr>
            </w:pP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59%</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66%</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64%</w:t>
            </w:r>
          </w:p>
        </w:tc>
      </w:tr>
      <w:tr w:rsidR="0013744C" w:rsidRPr="008848FD" w:rsidTr="00AC7A8B">
        <w:trPr>
          <w:trHeight w:val="80"/>
        </w:trPr>
        <w:tc>
          <w:tcPr>
            <w:tcW w:w="1095" w:type="dxa"/>
            <w:tcBorders>
              <w:right w:val="single" w:sz="4" w:space="0" w:color="auto"/>
            </w:tcBorders>
            <w:shd w:val="clear" w:color="auto" w:fill="auto"/>
            <w:noWrap/>
            <w:vAlign w:val="bottom"/>
            <w:hideMark/>
          </w:tcPr>
          <w:p w:rsidR="0013744C" w:rsidRPr="008848FD" w:rsidRDefault="0013744C" w:rsidP="00B12D7B">
            <w:pPr>
              <w:widowControl/>
              <w:suppressAutoHyphens w:val="0"/>
              <w:contextualSpacing/>
              <w:jc w:val="center"/>
              <w:rPr>
                <w:rFonts w:eastAsia="Times New Roman" w:cs="Times New Roman"/>
              </w:rPr>
            </w:pPr>
            <w:r>
              <w:rPr>
                <w:rFonts w:eastAsia="Times New Roman" w:cs="Times New Roman"/>
              </w:rPr>
              <w:t>G</w:t>
            </w:r>
            <w:r w:rsidRPr="008848FD">
              <w:rPr>
                <w:rFonts w:eastAsia="Times New Roman" w:cs="Times New Roman"/>
              </w:rPr>
              <w:t>BTP</w:t>
            </w:r>
          </w:p>
        </w:tc>
        <w:tc>
          <w:tcPr>
            <w:tcW w:w="920" w:type="dxa"/>
            <w:tcBorders>
              <w:left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55%</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Pr>
                <w:rFonts w:cs="Times New Roman"/>
              </w:rPr>
              <w:t xml:space="preserve"> </w:t>
            </w:r>
            <w:r w:rsidRPr="000E234D">
              <w:rPr>
                <w:rFonts w:cs="Times New Roman"/>
              </w:rPr>
              <w:t>83%</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Pr>
                <w:rFonts w:cs="Times New Roman"/>
              </w:rPr>
              <w:t xml:space="preserve"> </w:t>
            </w:r>
            <w:r w:rsidRPr="000E234D">
              <w:rPr>
                <w:rFonts w:cs="Times New Roman"/>
              </w:rPr>
              <w:t>90%</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73%</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65%</w:t>
            </w:r>
          </w:p>
        </w:tc>
        <w:tc>
          <w:tcPr>
            <w:tcW w:w="460" w:type="dxa"/>
            <w:tcBorders>
              <w:right w:val="single" w:sz="4" w:space="0" w:color="auto"/>
            </w:tcBorders>
            <w:vAlign w:val="bottom"/>
          </w:tcPr>
          <w:p w:rsidR="0013744C" w:rsidRPr="0013744C" w:rsidRDefault="0013744C" w:rsidP="00B12D7B">
            <w:pPr>
              <w:widowControl/>
              <w:suppressAutoHyphens w:val="0"/>
              <w:contextualSpacing/>
              <w:jc w:val="center"/>
              <w:rPr>
                <w:rFonts w:eastAsia="Times New Roman" w:cs="Times New Roman"/>
              </w:rPr>
            </w:pPr>
          </w:p>
        </w:tc>
        <w:tc>
          <w:tcPr>
            <w:tcW w:w="460" w:type="dxa"/>
            <w:tcBorders>
              <w:left w:val="single" w:sz="4" w:space="0" w:color="auto"/>
            </w:tcBorders>
            <w:vAlign w:val="bottom"/>
          </w:tcPr>
          <w:p w:rsidR="0013744C" w:rsidRPr="0013744C" w:rsidRDefault="0013744C" w:rsidP="00B12D7B">
            <w:pPr>
              <w:widowControl/>
              <w:suppressAutoHyphens w:val="0"/>
              <w:contextualSpacing/>
              <w:jc w:val="center"/>
              <w:rPr>
                <w:rFonts w:eastAsia="Times New Roman" w:cs="Times New Roman"/>
              </w:rPr>
            </w:pP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AC7A8B">
              <w:rPr>
                <w:rFonts w:cs="Times New Roman"/>
              </w:rPr>
              <w:t>62%</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77%</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75%</w:t>
            </w:r>
          </w:p>
        </w:tc>
      </w:tr>
      <w:tr w:rsidR="0013744C" w:rsidRPr="008848FD" w:rsidTr="00AC7A8B">
        <w:trPr>
          <w:trHeight w:val="80"/>
        </w:trPr>
        <w:tc>
          <w:tcPr>
            <w:tcW w:w="1095" w:type="dxa"/>
            <w:tcBorders>
              <w:right w:val="single" w:sz="4" w:space="0" w:color="auto"/>
            </w:tcBorders>
            <w:shd w:val="clear" w:color="auto" w:fill="auto"/>
            <w:noWrap/>
            <w:vAlign w:val="bottom"/>
            <w:hideMark/>
          </w:tcPr>
          <w:p w:rsidR="0013744C" w:rsidRPr="008848FD" w:rsidRDefault="0013744C" w:rsidP="00B12D7B">
            <w:pPr>
              <w:widowControl/>
              <w:suppressAutoHyphens w:val="0"/>
              <w:contextualSpacing/>
              <w:jc w:val="center"/>
              <w:rPr>
                <w:rFonts w:eastAsia="Times New Roman" w:cs="Times New Roman"/>
              </w:rPr>
            </w:pPr>
            <w:r>
              <w:rPr>
                <w:rFonts w:eastAsia="Times New Roman" w:cs="Times New Roman"/>
              </w:rPr>
              <w:t>G</w:t>
            </w:r>
            <w:r w:rsidRPr="008848FD">
              <w:rPr>
                <w:rFonts w:eastAsia="Times New Roman" w:cs="Times New Roman"/>
              </w:rPr>
              <w:t>ATP</w:t>
            </w:r>
          </w:p>
        </w:tc>
        <w:tc>
          <w:tcPr>
            <w:tcW w:w="920" w:type="dxa"/>
            <w:tcBorders>
              <w:left w:val="single" w:sz="4" w:space="0" w:color="auto"/>
            </w:tcBorders>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80%</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113%</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115%</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91%</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78%</w:t>
            </w:r>
          </w:p>
        </w:tc>
        <w:tc>
          <w:tcPr>
            <w:tcW w:w="460" w:type="dxa"/>
            <w:tcBorders>
              <w:right w:val="single" w:sz="4" w:space="0" w:color="auto"/>
            </w:tcBorders>
            <w:vAlign w:val="bottom"/>
          </w:tcPr>
          <w:p w:rsidR="0013744C" w:rsidRPr="0013744C" w:rsidRDefault="0013744C" w:rsidP="00B12D7B">
            <w:pPr>
              <w:widowControl/>
              <w:suppressAutoHyphens w:val="0"/>
              <w:contextualSpacing/>
              <w:jc w:val="center"/>
              <w:rPr>
                <w:rFonts w:eastAsia="Times New Roman" w:cs="Times New Roman"/>
              </w:rPr>
            </w:pPr>
          </w:p>
        </w:tc>
        <w:tc>
          <w:tcPr>
            <w:tcW w:w="460" w:type="dxa"/>
            <w:tcBorders>
              <w:left w:val="single" w:sz="4" w:space="0" w:color="auto"/>
            </w:tcBorders>
            <w:vAlign w:val="bottom"/>
          </w:tcPr>
          <w:p w:rsidR="0013744C" w:rsidRPr="0013744C" w:rsidRDefault="0013744C" w:rsidP="00B12D7B">
            <w:pPr>
              <w:widowControl/>
              <w:suppressAutoHyphens w:val="0"/>
              <w:contextualSpacing/>
              <w:jc w:val="center"/>
              <w:rPr>
                <w:rFonts w:eastAsia="Times New Roman" w:cs="Times New Roman"/>
              </w:rPr>
            </w:pP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89%</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96%</w:t>
            </w:r>
          </w:p>
        </w:tc>
        <w:tc>
          <w:tcPr>
            <w:tcW w:w="920" w:type="dxa"/>
            <w:shd w:val="clear" w:color="auto" w:fill="auto"/>
            <w:noWrap/>
            <w:vAlign w:val="bottom"/>
          </w:tcPr>
          <w:p w:rsidR="0013744C" w:rsidRPr="0013744C" w:rsidRDefault="0013744C" w:rsidP="00B12D7B">
            <w:pPr>
              <w:widowControl/>
              <w:suppressAutoHyphens w:val="0"/>
              <w:contextualSpacing/>
              <w:jc w:val="center"/>
              <w:rPr>
                <w:rFonts w:cs="Times New Roman"/>
              </w:rPr>
            </w:pPr>
            <w:r w:rsidRPr="000E234D">
              <w:rPr>
                <w:rFonts w:cs="Times New Roman"/>
              </w:rPr>
              <w:t>92%</w:t>
            </w:r>
          </w:p>
        </w:tc>
      </w:tr>
      <w:tr w:rsidR="00EC4F87" w:rsidRPr="008848FD" w:rsidTr="00EC4F87">
        <w:trPr>
          <w:trHeight w:val="80"/>
        </w:trPr>
        <w:tc>
          <w:tcPr>
            <w:tcW w:w="9375" w:type="dxa"/>
            <w:gridSpan w:val="11"/>
            <w:shd w:val="clear" w:color="auto" w:fill="auto"/>
            <w:noWrap/>
            <w:vAlign w:val="bottom"/>
          </w:tcPr>
          <w:p w:rsidR="00EC4F87" w:rsidRPr="008848FD" w:rsidRDefault="00EC4F87" w:rsidP="00B12D7B">
            <w:pPr>
              <w:widowControl/>
              <w:suppressAutoHyphens w:val="0"/>
              <w:contextualSpacing/>
              <w:rPr>
                <w:rFonts w:eastAsia="Times New Roman" w:cs="Times New Roman"/>
              </w:rPr>
            </w:pPr>
          </w:p>
          <w:p w:rsidR="00EC4F87" w:rsidRPr="008848FD" w:rsidRDefault="00EC4F87" w:rsidP="00B12D7B">
            <w:pPr>
              <w:widowControl/>
              <w:suppressAutoHyphens w:val="0"/>
              <w:contextualSpacing/>
              <w:rPr>
                <w:rFonts w:eastAsia="Times New Roman" w:cs="Times New Roman"/>
              </w:rPr>
            </w:pPr>
            <w:r w:rsidRPr="008848FD">
              <w:rPr>
                <w:rFonts w:eastAsia="Times New Roman" w:cs="Times New Roman"/>
                <w:vertAlign w:val="superscript"/>
              </w:rPr>
              <w:t>1</w:t>
            </w:r>
            <w:r w:rsidRPr="008848FD">
              <w:rPr>
                <w:rFonts w:eastAsia="Times New Roman" w:cs="Times New Roman"/>
              </w:rPr>
              <w:t xml:space="preserve"> </w:t>
            </w:r>
            <w:r w:rsidR="0013744C">
              <w:rPr>
                <w:rFonts w:eastAsia="Times New Roman" w:cs="Times New Roman"/>
              </w:rPr>
              <w:t>G</w:t>
            </w:r>
            <w:r w:rsidRPr="008848FD">
              <w:rPr>
                <w:rFonts w:eastAsia="Times New Roman" w:cs="Times New Roman"/>
              </w:rPr>
              <w:t xml:space="preserve">PI = </w:t>
            </w:r>
            <w:r w:rsidR="0013744C">
              <w:rPr>
                <w:rFonts w:eastAsia="Times New Roman" w:cs="Times New Roman"/>
              </w:rPr>
              <w:t xml:space="preserve">gross </w:t>
            </w:r>
            <w:r w:rsidRPr="008848FD">
              <w:rPr>
                <w:rFonts w:eastAsia="Times New Roman" w:cs="Times New Roman"/>
              </w:rPr>
              <w:t xml:space="preserve">property income; </w:t>
            </w:r>
            <w:r w:rsidR="0013744C">
              <w:rPr>
                <w:rFonts w:eastAsia="Times New Roman" w:cs="Times New Roman"/>
              </w:rPr>
              <w:t>G</w:t>
            </w:r>
            <w:r w:rsidRPr="008848FD">
              <w:rPr>
                <w:rFonts w:eastAsia="Times New Roman" w:cs="Times New Roman"/>
              </w:rPr>
              <w:t xml:space="preserve">OS = </w:t>
            </w:r>
            <w:r w:rsidR="0013744C">
              <w:rPr>
                <w:rFonts w:eastAsia="Times New Roman" w:cs="Times New Roman"/>
              </w:rPr>
              <w:t>gross</w:t>
            </w:r>
            <w:r w:rsidRPr="008848FD">
              <w:rPr>
                <w:rFonts w:eastAsia="Times New Roman" w:cs="Times New Roman"/>
              </w:rPr>
              <w:t xml:space="preserve"> operating surplus; </w:t>
            </w:r>
            <w:r w:rsidR="0013744C">
              <w:rPr>
                <w:rFonts w:eastAsia="Times New Roman" w:cs="Times New Roman"/>
              </w:rPr>
              <w:t>G</w:t>
            </w:r>
            <w:r w:rsidRPr="008848FD">
              <w:rPr>
                <w:rFonts w:eastAsia="Times New Roman" w:cs="Times New Roman"/>
              </w:rPr>
              <w:t xml:space="preserve">BTP = </w:t>
            </w:r>
            <w:r w:rsidR="0013744C">
              <w:rPr>
                <w:rFonts w:eastAsia="Times New Roman" w:cs="Times New Roman"/>
              </w:rPr>
              <w:t xml:space="preserve">gross </w:t>
            </w:r>
            <w:r w:rsidRPr="008848FD">
              <w:rPr>
                <w:rFonts w:eastAsia="Times New Roman" w:cs="Times New Roman"/>
              </w:rPr>
              <w:t xml:space="preserve">before-tax profit; </w:t>
            </w:r>
            <w:r w:rsidR="0013744C">
              <w:rPr>
                <w:rFonts w:eastAsia="Times New Roman" w:cs="Times New Roman"/>
              </w:rPr>
              <w:t>G</w:t>
            </w:r>
            <w:r w:rsidRPr="008848FD">
              <w:rPr>
                <w:rFonts w:eastAsia="Times New Roman" w:cs="Times New Roman"/>
              </w:rPr>
              <w:t xml:space="preserve">ATP = </w:t>
            </w:r>
            <w:r w:rsidR="0013744C">
              <w:rPr>
                <w:rFonts w:eastAsia="Times New Roman" w:cs="Times New Roman"/>
              </w:rPr>
              <w:t>gross</w:t>
            </w:r>
            <w:r w:rsidR="00827403">
              <w:rPr>
                <w:rFonts w:eastAsia="Times New Roman" w:cs="Times New Roman"/>
              </w:rPr>
              <w:t xml:space="preserve"> </w:t>
            </w:r>
            <w:r w:rsidRPr="008848FD">
              <w:rPr>
                <w:rFonts w:eastAsia="Times New Roman" w:cs="Times New Roman"/>
              </w:rPr>
              <w:t xml:space="preserve">after-tax profit </w:t>
            </w:r>
          </w:p>
        </w:tc>
      </w:tr>
    </w:tbl>
    <w:p w:rsidR="002D056E" w:rsidRDefault="002D056E" w:rsidP="00701D17">
      <w:pPr>
        <w:pStyle w:val="WW-Default"/>
        <w:suppressAutoHyphens w:val="0"/>
        <w:contextualSpacing/>
      </w:pPr>
    </w:p>
    <w:p w:rsidR="002D056E" w:rsidRDefault="002D056E">
      <w:pPr>
        <w:pStyle w:val="WW-Default"/>
        <w:suppressAutoHyphens w:val="0"/>
        <w:spacing w:line="720" w:lineRule="auto"/>
        <w:contextualSpacing/>
      </w:pPr>
    </w:p>
    <w:p w:rsidR="002D056E" w:rsidRDefault="002D056E" w:rsidP="00701D17">
      <w:pPr>
        <w:pStyle w:val="WW-Default"/>
        <w:suppressAutoHyphens w:val="0"/>
        <w:spacing w:line="480" w:lineRule="auto"/>
        <w:contextualSpacing/>
      </w:pPr>
      <w:r>
        <w:t>period, relative to their 1949–1980 averages, are attributable to the rising rate of depreciation, not to n</w:t>
      </w:r>
      <w:r w:rsidRPr="008848FD">
        <w:t xml:space="preserve">eoliberalism </w:t>
      </w:r>
      <w:r>
        <w:t>and/or f</w:t>
      </w:r>
      <w:r w:rsidRPr="008848FD">
        <w:t>inancialization</w:t>
      </w:r>
      <w:r>
        <w:t>.</w:t>
      </w:r>
    </w:p>
    <w:p w:rsidR="00CF04FD" w:rsidRPr="008848FD" w:rsidRDefault="00CF04FD" w:rsidP="00701D17">
      <w:pPr>
        <w:widowControl/>
        <w:suppressAutoHyphens w:val="0"/>
        <w:spacing w:line="480" w:lineRule="auto"/>
        <w:contextualSpacing/>
        <w:rPr>
          <w:rStyle w:val="shorttext"/>
          <w:rFonts w:cs="Times New Roman"/>
          <w:color w:val="000000" w:themeColor="text1"/>
          <w:shd w:val="clear" w:color="auto" w:fill="FFFFFF"/>
        </w:rPr>
      </w:pPr>
    </w:p>
    <w:p w:rsidR="00D74D68" w:rsidRPr="00D74D68" w:rsidRDefault="00F41C5F" w:rsidP="00B12D7B">
      <w:pPr>
        <w:widowControl/>
        <w:suppressAutoHyphens w:val="0"/>
        <w:autoSpaceDE w:val="0"/>
        <w:autoSpaceDN w:val="0"/>
        <w:adjustRightInd w:val="0"/>
        <w:spacing w:line="480" w:lineRule="auto"/>
        <w:jc w:val="center"/>
        <w:rPr>
          <w:rFonts w:eastAsiaTheme="minorHAnsi" w:cs="Times New Roman"/>
          <w:b/>
          <w:color w:val="231F20"/>
          <w:kern w:val="0"/>
          <w:lang w:eastAsia="en-US" w:bidi="ar-SA"/>
        </w:rPr>
      </w:pPr>
      <w:r>
        <w:rPr>
          <w:rFonts w:eastAsiaTheme="minorHAnsi" w:cs="Times New Roman"/>
          <w:b/>
          <w:color w:val="231F20"/>
          <w:kern w:val="0"/>
          <w:lang w:eastAsia="en-US" w:bidi="ar-SA"/>
        </w:rPr>
        <w:t xml:space="preserve">5. </w:t>
      </w:r>
      <w:r w:rsidR="00D74D68" w:rsidRPr="00D74D68">
        <w:rPr>
          <w:rFonts w:eastAsiaTheme="minorHAnsi" w:cs="Times New Roman"/>
          <w:b/>
          <w:color w:val="231F20"/>
          <w:kern w:val="0"/>
          <w:lang w:eastAsia="en-US" w:bidi="ar-SA"/>
        </w:rPr>
        <w:t>The Falling Rate of Accumulation</w:t>
      </w:r>
    </w:p>
    <w:p w:rsidR="00D74D68" w:rsidRPr="00D74D68" w:rsidRDefault="00D74D68" w:rsidP="00B12D7B">
      <w:pPr>
        <w:widowControl/>
        <w:suppressAutoHyphens w:val="0"/>
        <w:autoSpaceDE w:val="0"/>
        <w:autoSpaceDN w:val="0"/>
        <w:adjustRightInd w:val="0"/>
        <w:spacing w:line="480" w:lineRule="auto"/>
        <w:rPr>
          <w:rFonts w:eastAsiaTheme="minorHAnsi" w:cs="Times New Roman"/>
          <w:color w:val="231F20"/>
          <w:kern w:val="0"/>
          <w:lang w:eastAsia="en-US" w:bidi="ar-SA"/>
        </w:rPr>
      </w:pPr>
      <w:r w:rsidRPr="00D74D68">
        <w:rPr>
          <w:rFonts w:eastAsiaTheme="minorHAnsi" w:cs="Times New Roman"/>
          <w:color w:val="231F20"/>
          <w:kern w:val="0"/>
          <w:lang w:eastAsia="en-US" w:bidi="ar-SA"/>
        </w:rPr>
        <w:t xml:space="preserve">As we </w:t>
      </w:r>
      <w:r w:rsidR="003325F1">
        <w:rPr>
          <w:rFonts w:eastAsiaTheme="minorHAnsi" w:cs="Times New Roman"/>
          <w:color w:val="231F20"/>
          <w:kern w:val="0"/>
          <w:lang w:eastAsia="en-US" w:bidi="ar-SA"/>
        </w:rPr>
        <w:t>noted above</w:t>
      </w:r>
      <w:r w:rsidRPr="00D74D68">
        <w:rPr>
          <w:rFonts w:eastAsiaTheme="minorHAnsi" w:cs="Times New Roman"/>
          <w:color w:val="231F20"/>
          <w:kern w:val="0"/>
          <w:lang w:eastAsia="en-US" w:bidi="ar-SA"/>
        </w:rPr>
        <w:t>, U.S. corporations</w:t>
      </w:r>
      <w:r w:rsidR="0071600A">
        <w:rPr>
          <w:rFonts w:eastAsiaTheme="minorHAnsi" w:cs="Times New Roman"/>
          <w:color w:val="231F20"/>
          <w:kern w:val="0"/>
          <w:lang w:eastAsia="en-US" w:bidi="ar-SA"/>
        </w:rPr>
        <w:t>’</w:t>
      </w:r>
      <w:r w:rsidRPr="00D74D68">
        <w:rPr>
          <w:rFonts w:eastAsiaTheme="minorHAnsi" w:cs="Times New Roman"/>
          <w:color w:val="231F20"/>
          <w:kern w:val="0"/>
          <w:lang w:eastAsia="en-US" w:bidi="ar-SA"/>
        </w:rPr>
        <w:t xml:space="preserve"> rate of accumulation of fixed assets fell sharply during the three decades that preceded the Great Recession. Several radical political economists have argued that the decline occurred because, with the emergence of financialization and neoliberalism, profit was diverted from productive investment toward financial payments and acquisitions. </w:t>
      </w:r>
    </w:p>
    <w:p w:rsidR="00D74D68" w:rsidRDefault="00CF04FD" w:rsidP="004A6F82">
      <w:pPr>
        <w:widowControl/>
        <w:suppressAutoHyphens w:val="0"/>
        <w:autoSpaceDE w:val="0"/>
        <w:autoSpaceDN w:val="0"/>
        <w:adjustRightInd w:val="0"/>
        <w:rPr>
          <w:rFonts w:eastAsiaTheme="minorHAnsi" w:cs="Times New Roman"/>
          <w:color w:val="231F20"/>
          <w:kern w:val="0"/>
          <w:lang w:eastAsia="en-US" w:bidi="ar-SA"/>
        </w:rPr>
      </w:pPr>
      <w:r>
        <w:rPr>
          <w:rFonts w:eastAsiaTheme="minorHAnsi" w:cs="Times New Roman"/>
          <w:color w:val="231F20"/>
          <w:kern w:val="0"/>
          <w:lang w:eastAsia="en-US" w:bidi="ar-SA"/>
        </w:rPr>
        <w:tab/>
      </w:r>
      <w:r w:rsidR="00D74D68" w:rsidRPr="00D74D68">
        <w:rPr>
          <w:rFonts w:eastAsiaTheme="minorHAnsi" w:cs="Times New Roman"/>
          <w:color w:val="231F20"/>
          <w:kern w:val="0"/>
          <w:lang w:eastAsia="en-US" w:bidi="ar-SA"/>
        </w:rPr>
        <w:t>This conclusion is a direct consequence of two of their key claims:</w:t>
      </w:r>
    </w:p>
    <w:p w:rsidR="00BE2D16" w:rsidRDefault="00BE2D16" w:rsidP="004A6F82">
      <w:pPr>
        <w:widowControl/>
        <w:suppressAutoHyphens w:val="0"/>
        <w:autoSpaceDE w:val="0"/>
        <w:autoSpaceDN w:val="0"/>
        <w:adjustRightInd w:val="0"/>
        <w:rPr>
          <w:rFonts w:eastAsiaTheme="minorHAnsi" w:cs="Times New Roman"/>
          <w:color w:val="231F20"/>
          <w:kern w:val="0"/>
          <w:lang w:eastAsia="en-US" w:bidi="ar-SA"/>
        </w:rPr>
      </w:pPr>
    </w:p>
    <w:p w:rsidR="00CF04FD" w:rsidRPr="00701D17" w:rsidRDefault="00CF04FD" w:rsidP="004A6F82">
      <w:pPr>
        <w:widowControl/>
        <w:suppressAutoHyphens w:val="0"/>
        <w:autoSpaceDE w:val="0"/>
        <w:autoSpaceDN w:val="0"/>
        <w:adjustRightInd w:val="0"/>
        <w:rPr>
          <w:rFonts w:eastAsiaTheme="minorHAnsi" w:cs="Times New Roman"/>
          <w:color w:val="231F20"/>
          <w:kern w:val="0"/>
          <w:sz w:val="12"/>
          <w:szCs w:val="12"/>
          <w:lang w:eastAsia="en-US" w:bidi="ar-SA"/>
        </w:rPr>
      </w:pPr>
    </w:p>
    <w:p w:rsidR="00D74D68" w:rsidRPr="00D74D68" w:rsidRDefault="00D74D68" w:rsidP="00B12D7B">
      <w:pPr>
        <w:widowControl/>
        <w:numPr>
          <w:ilvl w:val="0"/>
          <w:numId w:val="5"/>
        </w:numPr>
        <w:suppressAutoHyphens w:val="0"/>
        <w:autoSpaceDE w:val="0"/>
        <w:autoSpaceDN w:val="0"/>
        <w:adjustRightInd w:val="0"/>
        <w:spacing w:before="480" w:after="200" w:line="480" w:lineRule="auto"/>
        <w:contextualSpacing/>
        <w:rPr>
          <w:rFonts w:eastAsiaTheme="minorHAnsi" w:cs="Times New Roman"/>
          <w:color w:val="231F20"/>
          <w:kern w:val="0"/>
          <w:lang w:eastAsia="en-US" w:bidi="ar-SA"/>
        </w:rPr>
      </w:pPr>
      <w:r w:rsidRPr="00D74D68">
        <w:rPr>
          <w:rFonts w:eastAsiaTheme="minorHAnsi" w:cs="Times New Roman"/>
          <w:color w:val="231F20"/>
          <w:kern w:val="0"/>
          <w:lang w:eastAsia="en-US" w:bidi="ar-SA"/>
        </w:rPr>
        <w:t>the rate of accumulation fell even though the rate of profit rebounded under neoliberalism, which implies that the investment share of profit declined.</w:t>
      </w:r>
      <w:r w:rsidRPr="00D74D68">
        <w:rPr>
          <w:rFonts w:eastAsiaTheme="minorHAnsi" w:cs="Times New Roman"/>
          <w:color w:val="231F20"/>
          <w:kern w:val="0"/>
          <w:vertAlign w:val="superscript"/>
          <w:lang w:eastAsia="en-US" w:bidi="ar-SA"/>
        </w:rPr>
        <w:footnoteReference w:id="18"/>
      </w:r>
      <w:r w:rsidRPr="00D74D68">
        <w:rPr>
          <w:rFonts w:eastAsiaTheme="minorHAnsi" w:cs="Times New Roman"/>
          <w:color w:val="231F20"/>
          <w:kern w:val="0"/>
          <w:lang w:eastAsia="en-US" w:bidi="ar-SA"/>
        </w:rPr>
        <w:t xml:space="preserve">  </w:t>
      </w:r>
    </w:p>
    <w:p w:rsidR="00D74D68" w:rsidRPr="00D74D68" w:rsidRDefault="00D74D68" w:rsidP="00B12D7B">
      <w:pPr>
        <w:widowControl/>
        <w:numPr>
          <w:ilvl w:val="0"/>
          <w:numId w:val="5"/>
        </w:numPr>
        <w:suppressAutoHyphens w:val="0"/>
        <w:autoSpaceDE w:val="0"/>
        <w:autoSpaceDN w:val="0"/>
        <w:adjustRightInd w:val="0"/>
        <w:spacing w:after="200" w:line="480" w:lineRule="auto"/>
        <w:contextualSpacing/>
        <w:rPr>
          <w:rFonts w:eastAsiaTheme="minorHAnsi" w:cs="Times New Roman"/>
          <w:color w:val="231F20"/>
          <w:kern w:val="0"/>
          <w:lang w:eastAsia="en-US" w:bidi="ar-SA"/>
        </w:rPr>
      </w:pPr>
      <w:r w:rsidRPr="00D74D68">
        <w:rPr>
          <w:rFonts w:eastAsiaTheme="minorHAnsi" w:cs="Times New Roman"/>
          <w:color w:val="231F20"/>
          <w:kern w:val="0"/>
          <w:lang w:eastAsia="en-US" w:bidi="ar-SA"/>
        </w:rPr>
        <w:lastRenderedPageBreak/>
        <w:t xml:space="preserve">the investment share declined because profit was diverted from productive investment during the neoliberal period. </w:t>
      </w:r>
    </w:p>
    <w:p w:rsidR="00D74D68" w:rsidRPr="00D74D68" w:rsidRDefault="00D74D68" w:rsidP="004A6F82">
      <w:pPr>
        <w:widowControl/>
        <w:suppressAutoHyphens w:val="0"/>
        <w:autoSpaceDE w:val="0"/>
        <w:autoSpaceDN w:val="0"/>
        <w:adjustRightInd w:val="0"/>
        <w:rPr>
          <w:rFonts w:eastAsiaTheme="minorHAnsi" w:cs="Times New Roman"/>
          <w:color w:val="231F20"/>
          <w:kern w:val="0"/>
          <w:lang w:eastAsia="en-US" w:bidi="ar-SA"/>
        </w:rPr>
      </w:pPr>
    </w:p>
    <w:p w:rsidR="00D74D68" w:rsidRPr="00D74D68" w:rsidRDefault="00D74D68" w:rsidP="00B12D7B">
      <w:pPr>
        <w:widowControl/>
        <w:suppressAutoHyphens w:val="0"/>
        <w:autoSpaceDE w:val="0"/>
        <w:autoSpaceDN w:val="0"/>
        <w:adjustRightInd w:val="0"/>
        <w:spacing w:line="480" w:lineRule="auto"/>
        <w:rPr>
          <w:rFonts w:eastAsiaTheme="minorHAnsi" w:cs="Times New Roman"/>
          <w:color w:val="231F20"/>
          <w:kern w:val="0"/>
          <w:lang w:eastAsia="en-US" w:bidi="ar-SA"/>
        </w:rPr>
      </w:pPr>
      <w:r w:rsidRPr="00D74D68">
        <w:rPr>
          <w:rFonts w:eastAsiaTheme="minorHAnsi" w:cs="Times New Roman"/>
          <w:color w:val="231F20"/>
          <w:kern w:val="0"/>
          <w:lang w:eastAsia="en-US" w:bidi="ar-SA"/>
        </w:rPr>
        <w:t>For example, Duménil and Lévy (2004</w:t>
      </w:r>
      <w:r w:rsidR="00625A70">
        <w:rPr>
          <w:rFonts w:eastAsiaTheme="minorHAnsi" w:cs="Times New Roman"/>
          <w:color w:val="231F20"/>
          <w:kern w:val="0"/>
          <w:lang w:eastAsia="en-US" w:bidi="ar-SA"/>
        </w:rPr>
        <w:t>, p.</w:t>
      </w:r>
      <w:r w:rsidRPr="00D74D68">
        <w:rPr>
          <w:rFonts w:eastAsiaTheme="minorHAnsi" w:cs="Times New Roman"/>
          <w:color w:val="231F20"/>
          <w:kern w:val="0"/>
          <w:lang w:eastAsia="en-US" w:bidi="ar-SA"/>
        </w:rPr>
        <w:t xml:space="preserve"> 65) wrote,  </w:t>
      </w:r>
    </w:p>
    <w:p w:rsidR="00D74D68" w:rsidRPr="00D74D68" w:rsidRDefault="00D74D68" w:rsidP="004A6F82">
      <w:pPr>
        <w:widowControl/>
        <w:suppressAutoHyphens w:val="0"/>
        <w:autoSpaceDE w:val="0"/>
        <w:autoSpaceDN w:val="0"/>
        <w:adjustRightInd w:val="0"/>
        <w:rPr>
          <w:rFonts w:eastAsiaTheme="minorHAnsi" w:cs="Times New Roman"/>
          <w:color w:val="231F20"/>
          <w:kern w:val="0"/>
          <w:lang w:eastAsia="en-US" w:bidi="ar-SA"/>
        </w:rPr>
      </w:pPr>
    </w:p>
    <w:p w:rsidR="00D74D68" w:rsidRPr="00D74D68" w:rsidRDefault="00D74D68" w:rsidP="00B12D7B">
      <w:pPr>
        <w:widowControl/>
        <w:suppressAutoHyphens w:val="0"/>
        <w:autoSpaceDE w:val="0"/>
        <w:autoSpaceDN w:val="0"/>
        <w:adjustRightInd w:val="0"/>
        <w:spacing w:line="480" w:lineRule="auto"/>
        <w:ind w:left="720"/>
        <w:rPr>
          <w:rFonts w:eastAsiaTheme="minorHAnsi" w:cs="Times New Roman"/>
          <w:color w:val="231F20"/>
          <w:kern w:val="0"/>
          <w:lang w:eastAsia="en-US" w:bidi="ar-SA"/>
        </w:rPr>
      </w:pPr>
      <w:r w:rsidRPr="00D74D68">
        <w:rPr>
          <w:rFonts w:eastAsiaTheme="minorHAnsi" w:cs="Times New Roman"/>
          <w:color w:val="231F20"/>
          <w:kern w:val="0"/>
          <w:lang w:eastAsia="en-US" w:bidi="ar-SA"/>
        </w:rPr>
        <w:t xml:space="preserve">Why was the restoration of the rate of profit not coupled with a parallel resumption of growth …? The key to this enigma may be found in the monetary and financial mechanisms … the continuing poor performance of the American and European economies [… is] actually the effect of the specific dynamics of neoliberalism. One can, therefore, assert that the structural crisis is over and blame neoliberalism for poor accumulation rates. </w:t>
      </w:r>
    </w:p>
    <w:p w:rsidR="00D74D68" w:rsidRPr="00D74D68" w:rsidRDefault="00D74D68" w:rsidP="00D84948">
      <w:pPr>
        <w:widowControl/>
        <w:suppressAutoHyphens w:val="0"/>
        <w:autoSpaceDE w:val="0"/>
        <w:autoSpaceDN w:val="0"/>
        <w:adjustRightInd w:val="0"/>
        <w:rPr>
          <w:rFonts w:eastAsiaTheme="minorHAnsi" w:cs="Times New Roman"/>
          <w:color w:val="231F20"/>
          <w:kern w:val="0"/>
          <w:lang w:eastAsia="en-US" w:bidi="ar-SA"/>
        </w:rPr>
      </w:pPr>
    </w:p>
    <w:p w:rsidR="00D74D68" w:rsidRPr="00D74D68" w:rsidRDefault="00D74D68" w:rsidP="00B12D7B">
      <w:pPr>
        <w:widowControl/>
        <w:suppressAutoHyphens w:val="0"/>
        <w:autoSpaceDE w:val="0"/>
        <w:autoSpaceDN w:val="0"/>
        <w:adjustRightInd w:val="0"/>
        <w:spacing w:line="480" w:lineRule="auto"/>
        <w:rPr>
          <w:rFonts w:eastAsiaTheme="minorHAnsi" w:cs="Times New Roman"/>
          <w:color w:val="231F20"/>
          <w:kern w:val="0"/>
          <w:lang w:eastAsia="en-US" w:bidi="ar-SA"/>
        </w:rPr>
      </w:pPr>
      <w:r w:rsidRPr="00D74D68">
        <w:rPr>
          <w:rFonts w:eastAsiaTheme="minorHAnsi" w:cs="Times New Roman"/>
          <w:color w:val="231F20"/>
          <w:kern w:val="0"/>
          <w:lang w:eastAsia="en-US" w:bidi="ar-SA"/>
        </w:rPr>
        <w:t>Similarly, Husson (2008) argued that</w:t>
      </w:r>
    </w:p>
    <w:p w:rsidR="00D74D68" w:rsidRPr="00D74D68" w:rsidRDefault="00D74D68" w:rsidP="004A6F82">
      <w:pPr>
        <w:widowControl/>
        <w:suppressAutoHyphens w:val="0"/>
        <w:autoSpaceDE w:val="0"/>
        <w:autoSpaceDN w:val="0"/>
        <w:adjustRightInd w:val="0"/>
        <w:rPr>
          <w:rFonts w:eastAsiaTheme="minorHAnsi" w:cs="Times New Roman"/>
          <w:kern w:val="0"/>
          <w:lang w:eastAsia="en-US" w:bidi="ar-SA"/>
        </w:rPr>
      </w:pPr>
    </w:p>
    <w:p w:rsidR="00D74D68" w:rsidRPr="00D74D68" w:rsidRDefault="00D74D68" w:rsidP="00C303D1">
      <w:pPr>
        <w:widowControl/>
        <w:suppressAutoHyphens w:val="0"/>
        <w:autoSpaceDE w:val="0"/>
        <w:autoSpaceDN w:val="0"/>
        <w:adjustRightInd w:val="0"/>
        <w:spacing w:line="480" w:lineRule="auto"/>
        <w:ind w:left="720"/>
        <w:rPr>
          <w:rFonts w:eastAsiaTheme="minorHAnsi" w:cs="Times New Roman"/>
          <w:color w:val="231F20"/>
          <w:kern w:val="0"/>
          <w:lang w:eastAsia="en-US" w:bidi="ar-SA"/>
        </w:rPr>
      </w:pPr>
      <w:r w:rsidRPr="00D74D68">
        <w:rPr>
          <w:rFonts w:eastAsiaTheme="minorHAnsi" w:cs="Times New Roman"/>
          <w:color w:val="231F20"/>
          <w:kern w:val="0"/>
          <w:lang w:eastAsia="en-US" w:bidi="ar-SA"/>
        </w:rPr>
        <w:t>[the] decrease of the wage-share has allowed a spectacular recovery of the average rate of profit from the mid 1980s. But … the rate of accumulation has continued to fluctuate around a level lower than that before the crisis. In other words, the drain on wages has not been used to invest more. … The growing mass of surplus value which has not been accumulated has [to] mainly be distributed in the form of financial revenues, and that is where the source of the process of financialization is to be found. The difference between the rate of profit and the rate of investment is a good indicator of the degree of financialisation.</w:t>
      </w:r>
    </w:p>
    <w:p w:rsidR="00D74D68" w:rsidRPr="00D74D68" w:rsidRDefault="00D74D68" w:rsidP="004A6F82">
      <w:pPr>
        <w:widowControl/>
        <w:suppressAutoHyphens w:val="0"/>
        <w:autoSpaceDE w:val="0"/>
        <w:autoSpaceDN w:val="0"/>
        <w:adjustRightInd w:val="0"/>
        <w:ind w:left="720"/>
        <w:rPr>
          <w:rFonts w:eastAsiaTheme="minorHAnsi" w:cs="Times New Roman"/>
          <w:kern w:val="0"/>
          <w:lang w:eastAsia="en-US" w:bidi="ar-SA"/>
        </w:rPr>
      </w:pPr>
    </w:p>
    <w:p w:rsidR="00D74D68" w:rsidRPr="00D74D68" w:rsidRDefault="00D74D68" w:rsidP="00C303D1">
      <w:pPr>
        <w:widowControl/>
        <w:suppressAutoHyphens w:val="0"/>
        <w:autoSpaceDE w:val="0"/>
        <w:autoSpaceDN w:val="0"/>
        <w:adjustRightInd w:val="0"/>
        <w:spacing w:line="480" w:lineRule="auto"/>
        <w:ind w:firstLine="706"/>
        <w:rPr>
          <w:rFonts w:eastAsiaTheme="minorHAnsi" w:cs="Times New Roman"/>
          <w:color w:val="231F20"/>
          <w:kern w:val="0"/>
          <w:lang w:eastAsia="en-US" w:bidi="ar-SA"/>
        </w:rPr>
      </w:pPr>
      <w:r w:rsidRPr="00D74D68">
        <w:rPr>
          <w:rFonts w:eastAsiaTheme="minorHAnsi" w:cs="Times New Roman"/>
          <w:color w:val="231F20"/>
          <w:kern w:val="0"/>
          <w:lang w:eastAsia="en-US" w:bidi="ar-SA"/>
        </w:rPr>
        <w:t xml:space="preserve">We have shown above that claim (2) is false, at least in the case of the U.S. </w:t>
      </w:r>
      <w:r w:rsidR="003325F1">
        <w:rPr>
          <w:rFonts w:eastAsiaTheme="minorHAnsi" w:cs="Times New Roman"/>
          <w:color w:val="231F20"/>
          <w:kern w:val="0"/>
          <w:lang w:eastAsia="en-US" w:bidi="ar-SA"/>
        </w:rPr>
        <w:t>A</w:t>
      </w:r>
      <w:r w:rsidRPr="00D74D68">
        <w:rPr>
          <w:rFonts w:eastAsiaTheme="minorHAnsi" w:cs="Times New Roman"/>
          <w:color w:val="231F20"/>
          <w:kern w:val="0"/>
          <w:lang w:eastAsia="en-US" w:bidi="ar-SA"/>
        </w:rPr>
        <w:t xml:space="preserve">lthough the investment share did decline after the early 1980s, </w:t>
      </w:r>
      <w:r w:rsidR="003325F1">
        <w:rPr>
          <w:rFonts w:eastAsiaTheme="minorHAnsi" w:cs="Times New Roman"/>
          <w:color w:val="231F20"/>
          <w:kern w:val="0"/>
          <w:lang w:eastAsia="en-US" w:bidi="ar-SA"/>
        </w:rPr>
        <w:t xml:space="preserve">it did so </w:t>
      </w:r>
      <w:r w:rsidR="003325F1" w:rsidRPr="00D74D68">
        <w:rPr>
          <w:rFonts w:eastAsiaTheme="minorHAnsi" w:cs="Times New Roman"/>
          <w:color w:val="231F20"/>
          <w:kern w:val="0"/>
          <w:lang w:eastAsia="en-US" w:bidi="ar-SA"/>
        </w:rPr>
        <w:t>because the investment share at the start of the 1980s was abnormally high and unsustainable</w:t>
      </w:r>
      <w:r w:rsidR="00D84948">
        <w:rPr>
          <w:rFonts w:eastAsiaTheme="minorHAnsi" w:cs="Times New Roman"/>
          <w:color w:val="231F20"/>
          <w:kern w:val="0"/>
          <w:lang w:eastAsia="en-US" w:bidi="ar-SA"/>
        </w:rPr>
        <w:t xml:space="preserve">, not because </w:t>
      </w:r>
      <w:r w:rsidRPr="00D74D68">
        <w:rPr>
          <w:rFonts w:eastAsiaTheme="minorHAnsi" w:cs="Times New Roman"/>
          <w:color w:val="231F20"/>
          <w:kern w:val="0"/>
          <w:lang w:eastAsia="en-US" w:bidi="ar-SA"/>
        </w:rPr>
        <w:t xml:space="preserve">profit was diverted from </w:t>
      </w:r>
      <w:r w:rsidRPr="00D74D68">
        <w:rPr>
          <w:rFonts w:eastAsiaTheme="minorHAnsi" w:cs="Times New Roman"/>
          <w:color w:val="231F20"/>
          <w:kern w:val="0"/>
          <w:lang w:eastAsia="en-US" w:bidi="ar-SA"/>
        </w:rPr>
        <w:lastRenderedPageBreak/>
        <w:t xml:space="preserve">productive investment toward financial </w:t>
      </w:r>
      <w:r w:rsidR="00904087" w:rsidRPr="00D74D68">
        <w:rPr>
          <w:rFonts w:eastAsiaTheme="minorHAnsi" w:cs="Times New Roman"/>
          <w:color w:val="231F20"/>
          <w:kern w:val="0"/>
          <w:lang w:eastAsia="en-US" w:bidi="ar-SA"/>
        </w:rPr>
        <w:t xml:space="preserve">uses. </w:t>
      </w:r>
      <w:r w:rsidRPr="00D74D68">
        <w:rPr>
          <w:rFonts w:eastAsiaTheme="minorHAnsi" w:cs="Times New Roman"/>
          <w:color w:val="231F20"/>
          <w:kern w:val="0"/>
          <w:lang w:eastAsia="en-US" w:bidi="ar-SA"/>
        </w:rPr>
        <w:t>A</w:t>
      </w:r>
      <w:r w:rsidR="00D84948">
        <w:rPr>
          <w:rFonts w:eastAsiaTheme="minorHAnsi" w:cs="Times New Roman"/>
          <w:color w:val="231F20"/>
          <w:kern w:val="0"/>
          <w:lang w:eastAsia="en-US" w:bidi="ar-SA"/>
        </w:rPr>
        <w:t>nd a</w:t>
      </w:r>
      <w:r w:rsidRPr="00D74D68">
        <w:rPr>
          <w:rFonts w:eastAsiaTheme="minorHAnsi" w:cs="Times New Roman"/>
          <w:color w:val="231F20"/>
          <w:kern w:val="0"/>
          <w:lang w:eastAsia="en-US" w:bidi="ar-SA"/>
        </w:rPr>
        <w:t>lthough financial payments and acquisitions grew rapidly, what made the</w:t>
      </w:r>
      <w:r w:rsidR="00D84948">
        <w:rPr>
          <w:rFonts w:eastAsiaTheme="minorHAnsi" w:cs="Times New Roman"/>
          <w:color w:val="231F20"/>
          <w:kern w:val="0"/>
          <w:lang w:eastAsia="en-US" w:bidi="ar-SA"/>
        </w:rPr>
        <w:t>ir</w:t>
      </w:r>
      <w:r w:rsidRPr="00D74D68">
        <w:rPr>
          <w:rFonts w:eastAsiaTheme="minorHAnsi" w:cs="Times New Roman"/>
          <w:color w:val="231F20"/>
          <w:kern w:val="0"/>
          <w:lang w:eastAsia="en-US" w:bidi="ar-SA"/>
        </w:rPr>
        <w:t xml:space="preserve"> rapid growth possible was increased use of borrowed funds, not diversion of profit from production. Through 2001, the share of profit that was invested in production was not lower under neoliberalism than prior to it, and once we control for the rise in the rate of depreciation, it was not lower during the neoliberal period as a whole. </w:t>
      </w:r>
    </w:p>
    <w:p w:rsidR="00D74D68" w:rsidRPr="00D74D68" w:rsidRDefault="00D74D68" w:rsidP="00B12D7B">
      <w:pPr>
        <w:widowControl/>
        <w:suppressAutoHyphens w:val="0"/>
        <w:autoSpaceDE w:val="0"/>
        <w:autoSpaceDN w:val="0"/>
        <w:adjustRightInd w:val="0"/>
        <w:spacing w:line="480" w:lineRule="auto"/>
        <w:ind w:firstLine="706"/>
        <w:rPr>
          <w:rFonts w:eastAsiaTheme="minorHAnsi" w:cs="Times New Roman"/>
          <w:color w:val="231F20"/>
          <w:kern w:val="0"/>
          <w:lang w:eastAsia="en-US" w:bidi="ar-SA"/>
        </w:rPr>
      </w:pPr>
      <w:r w:rsidRPr="00D74D68">
        <w:rPr>
          <w:rFonts w:eastAsiaTheme="minorHAnsi" w:cs="Times New Roman"/>
          <w:color w:val="231F20"/>
          <w:kern w:val="0"/>
          <w:lang w:eastAsia="en-US" w:bidi="ar-SA"/>
        </w:rPr>
        <w:t xml:space="preserve">As for claim (1), the </w:t>
      </w:r>
      <w:r w:rsidR="0071600A">
        <w:rPr>
          <w:rFonts w:eastAsiaTheme="minorHAnsi" w:cs="Times New Roman"/>
          <w:color w:val="231F20"/>
          <w:kern w:val="0"/>
          <w:lang w:eastAsia="en-US" w:bidi="ar-SA"/>
        </w:rPr>
        <w:t>“</w:t>
      </w:r>
      <w:r w:rsidRPr="00D74D68">
        <w:rPr>
          <w:rFonts w:eastAsiaTheme="minorHAnsi" w:cs="Times New Roman"/>
          <w:color w:val="231F20"/>
          <w:kern w:val="0"/>
          <w:lang w:eastAsia="en-US" w:bidi="ar-SA"/>
        </w:rPr>
        <w:t>rate of profit</w:t>
      </w:r>
      <w:r w:rsidR="0071600A">
        <w:rPr>
          <w:rFonts w:eastAsiaTheme="minorHAnsi" w:cs="Times New Roman"/>
          <w:color w:val="231F20"/>
          <w:kern w:val="0"/>
          <w:lang w:eastAsia="en-US" w:bidi="ar-SA"/>
        </w:rPr>
        <w:t>”</w:t>
      </w:r>
      <w:r w:rsidRPr="00D74D68">
        <w:rPr>
          <w:rFonts w:eastAsiaTheme="minorHAnsi" w:cs="Times New Roman"/>
          <w:color w:val="231F20"/>
          <w:kern w:val="0"/>
          <w:lang w:eastAsia="en-US" w:bidi="ar-SA"/>
        </w:rPr>
        <w:t xml:space="preserve"> that rebounded is not a rate of profit in the normal sense of the term. That is, it is not the rate of return on investment</w:t>
      </w:r>
      <w:r w:rsidR="00D84948">
        <w:rPr>
          <w:rFonts w:eastAsiaTheme="minorHAnsi" w:cs="Times New Roman"/>
          <w:color w:val="231F20"/>
          <w:kern w:val="0"/>
          <w:lang w:eastAsia="en-US" w:bidi="ar-SA"/>
        </w:rPr>
        <w:t>––</w:t>
      </w:r>
      <w:r w:rsidRPr="00D74D68">
        <w:rPr>
          <w:rFonts w:eastAsiaTheme="minorHAnsi" w:cs="Times New Roman"/>
          <w:color w:val="231F20"/>
          <w:kern w:val="0"/>
          <w:lang w:eastAsia="en-US" w:bidi="ar-SA"/>
        </w:rPr>
        <w:t>profit as a percentage of accumulated investment (book value net of depreciation)</w:t>
      </w:r>
      <w:r w:rsidR="00D84948">
        <w:rPr>
          <w:rFonts w:eastAsiaTheme="minorHAnsi" w:cs="Times New Roman"/>
          <w:color w:val="231F20"/>
          <w:kern w:val="0"/>
          <w:lang w:eastAsia="en-US" w:bidi="ar-SA"/>
        </w:rPr>
        <w:t>––</w:t>
      </w:r>
      <w:r w:rsidRPr="00D74D68">
        <w:rPr>
          <w:rFonts w:eastAsiaTheme="minorHAnsi" w:cs="Times New Roman"/>
          <w:color w:val="231F20"/>
          <w:kern w:val="0"/>
          <w:lang w:eastAsia="en-US" w:bidi="ar-SA"/>
        </w:rPr>
        <w:t xml:space="preserve">but profit as a percentage of what it would currently cost to replace the entire stock of fixed assets. </w:t>
      </w:r>
      <w:r w:rsidR="00CF04FD" w:rsidRPr="00D74D68">
        <w:rPr>
          <w:rFonts w:eastAsiaTheme="minorHAnsi" w:cs="Times New Roman"/>
          <w:color w:val="231F20"/>
          <w:kern w:val="0"/>
          <w:lang w:eastAsia="en-US" w:bidi="ar-SA"/>
        </w:rPr>
        <w:t xml:space="preserve">Kliman (2011, chap. </w:t>
      </w:r>
      <w:r w:rsidR="00CF04FD">
        <w:rPr>
          <w:rFonts w:eastAsiaTheme="minorHAnsi" w:cs="Times New Roman"/>
          <w:color w:val="231F20"/>
          <w:kern w:val="0"/>
          <w:lang w:eastAsia="en-US" w:bidi="ar-SA"/>
        </w:rPr>
        <w:t>5</w:t>
      </w:r>
      <w:r w:rsidR="00CF04FD" w:rsidRPr="00D74D68">
        <w:rPr>
          <w:rFonts w:eastAsiaTheme="minorHAnsi" w:cs="Times New Roman"/>
          <w:color w:val="231F20"/>
          <w:kern w:val="0"/>
          <w:lang w:eastAsia="en-US" w:bidi="ar-SA"/>
        </w:rPr>
        <w:t xml:space="preserve">) has shown that </w:t>
      </w:r>
      <w:r w:rsidR="00CF04FD" w:rsidRPr="00D84948">
        <w:rPr>
          <w:rFonts w:eastAsiaTheme="minorHAnsi" w:cs="Times New Roman"/>
          <w:color w:val="231F20"/>
          <w:kern w:val="0"/>
          <w:lang w:eastAsia="en-US" w:bidi="ar-SA"/>
        </w:rPr>
        <w:t>t</w:t>
      </w:r>
      <w:r w:rsidRPr="00D84948">
        <w:rPr>
          <w:rFonts w:eastAsiaTheme="minorHAnsi" w:cs="Times New Roman"/>
          <w:color w:val="231F20"/>
          <w:kern w:val="0"/>
          <w:lang w:eastAsia="en-US" w:bidi="ar-SA"/>
        </w:rPr>
        <w:t>he rate of return</w:t>
      </w:r>
      <w:r w:rsidRPr="00B12D7B">
        <w:rPr>
          <w:rFonts w:eastAsiaTheme="minorHAnsi" w:cs="Times New Roman"/>
          <w:i/>
          <w:color w:val="231F20"/>
          <w:kern w:val="0"/>
          <w:lang w:eastAsia="en-US" w:bidi="ar-SA"/>
        </w:rPr>
        <w:t xml:space="preserve"> on </w:t>
      </w:r>
      <w:r w:rsidR="00CF04FD">
        <w:rPr>
          <w:rFonts w:eastAsiaTheme="minorHAnsi" w:cs="Times New Roman"/>
          <w:i/>
          <w:color w:val="231F20"/>
          <w:kern w:val="0"/>
          <w:lang w:eastAsia="en-US" w:bidi="ar-SA"/>
        </w:rPr>
        <w:t xml:space="preserve">accumulated </w:t>
      </w:r>
      <w:r w:rsidRPr="00B12D7B">
        <w:rPr>
          <w:rFonts w:eastAsiaTheme="minorHAnsi" w:cs="Times New Roman"/>
          <w:i/>
          <w:color w:val="231F20"/>
          <w:kern w:val="0"/>
          <w:lang w:eastAsia="en-US" w:bidi="ar-SA"/>
        </w:rPr>
        <w:t>investment</w:t>
      </w:r>
      <w:r w:rsidRPr="00D74D68">
        <w:rPr>
          <w:rFonts w:eastAsiaTheme="minorHAnsi" w:cs="Times New Roman"/>
          <w:color w:val="231F20"/>
          <w:kern w:val="0"/>
          <w:lang w:eastAsia="en-US" w:bidi="ar-SA"/>
        </w:rPr>
        <w:t xml:space="preserve"> declines substantially during the neoliberal period when property income or net operating surplus are employed as measures of profit. When before- or after-tax profit are employed, the rate of return </w:t>
      </w:r>
      <w:r w:rsidR="00CF04FD">
        <w:rPr>
          <w:rFonts w:eastAsiaTheme="minorHAnsi" w:cs="Times New Roman"/>
          <w:color w:val="231F20"/>
          <w:kern w:val="0"/>
          <w:lang w:eastAsia="en-US" w:bidi="ar-SA"/>
        </w:rPr>
        <w:t xml:space="preserve">on investment </w:t>
      </w:r>
      <w:r w:rsidRPr="00D74D68">
        <w:rPr>
          <w:rFonts w:eastAsiaTheme="minorHAnsi" w:cs="Times New Roman"/>
          <w:color w:val="231F20"/>
          <w:kern w:val="0"/>
          <w:lang w:eastAsia="en-US" w:bidi="ar-SA"/>
        </w:rPr>
        <w:t>also decline</w:t>
      </w:r>
      <w:r w:rsidR="00CF04FD">
        <w:rPr>
          <w:rFonts w:eastAsiaTheme="minorHAnsi" w:cs="Times New Roman"/>
          <w:color w:val="231F20"/>
          <w:kern w:val="0"/>
          <w:lang w:eastAsia="en-US" w:bidi="ar-SA"/>
        </w:rPr>
        <w:t>s</w:t>
      </w:r>
      <w:r w:rsidRPr="00D74D68">
        <w:rPr>
          <w:rFonts w:eastAsiaTheme="minorHAnsi" w:cs="Times New Roman"/>
          <w:color w:val="231F20"/>
          <w:kern w:val="0"/>
          <w:lang w:eastAsia="en-US" w:bidi="ar-SA"/>
        </w:rPr>
        <w:t xml:space="preserve"> substantially between 1982, a trough year, and 2001</w:t>
      </w:r>
      <w:r w:rsidR="00CF04FD">
        <w:rPr>
          <w:rFonts w:eastAsiaTheme="minorHAnsi" w:cs="Times New Roman"/>
          <w:color w:val="231F20"/>
          <w:kern w:val="0"/>
          <w:lang w:eastAsia="en-US" w:bidi="ar-SA"/>
        </w:rPr>
        <w:t xml:space="preserve"> </w:t>
      </w:r>
      <w:r w:rsidRPr="00D74D68">
        <w:rPr>
          <w:rFonts w:eastAsiaTheme="minorHAnsi" w:cs="Times New Roman"/>
          <w:color w:val="231F20"/>
          <w:kern w:val="0"/>
          <w:lang w:eastAsia="en-US" w:bidi="ar-SA"/>
        </w:rPr>
        <w:t xml:space="preserve">(the last trough prior to the Great Recession), and </w:t>
      </w:r>
      <w:r w:rsidR="00CF04FD">
        <w:rPr>
          <w:rFonts w:eastAsiaTheme="minorHAnsi" w:cs="Times New Roman"/>
          <w:color w:val="231F20"/>
          <w:kern w:val="0"/>
          <w:lang w:eastAsia="en-US" w:bidi="ar-SA"/>
        </w:rPr>
        <w:t xml:space="preserve">it is </w:t>
      </w:r>
      <w:r w:rsidRPr="00D74D68">
        <w:rPr>
          <w:rFonts w:eastAsiaTheme="minorHAnsi" w:cs="Times New Roman"/>
          <w:color w:val="231F20"/>
          <w:kern w:val="0"/>
          <w:lang w:eastAsia="en-US" w:bidi="ar-SA"/>
        </w:rPr>
        <w:t>basically trendless during the 1981–2007 period as a whole.</w:t>
      </w:r>
      <w:r w:rsidRPr="00D74D68">
        <w:rPr>
          <w:rFonts w:eastAsiaTheme="minorHAnsi" w:cs="Times New Roman"/>
          <w:color w:val="231F20"/>
          <w:kern w:val="0"/>
          <w:vertAlign w:val="superscript"/>
          <w:lang w:eastAsia="en-US" w:bidi="ar-SA"/>
        </w:rPr>
        <w:footnoteReference w:id="19"/>
      </w:r>
      <w:r w:rsidRPr="00D74D68">
        <w:rPr>
          <w:rFonts w:eastAsiaTheme="minorHAnsi" w:cs="Times New Roman"/>
          <w:color w:val="231F20"/>
          <w:kern w:val="0"/>
          <w:lang w:eastAsia="en-US" w:bidi="ar-SA"/>
        </w:rPr>
        <w:t xml:space="preserve"> </w:t>
      </w:r>
    </w:p>
    <w:p w:rsidR="00D74D68" w:rsidRPr="00D74D68" w:rsidRDefault="00CF04FD" w:rsidP="00B12D7B">
      <w:pPr>
        <w:widowControl/>
        <w:suppressAutoHyphens w:val="0"/>
        <w:autoSpaceDE w:val="0"/>
        <w:autoSpaceDN w:val="0"/>
        <w:adjustRightInd w:val="0"/>
        <w:spacing w:line="480" w:lineRule="auto"/>
        <w:rPr>
          <w:rFonts w:eastAsiaTheme="minorHAnsi" w:cs="Times New Roman"/>
          <w:color w:val="231F20"/>
          <w:kern w:val="0"/>
          <w:lang w:eastAsia="en-US" w:bidi="ar-SA"/>
        </w:rPr>
      </w:pPr>
      <w:r>
        <w:rPr>
          <w:rFonts w:eastAsiaTheme="minorHAnsi" w:cs="Times New Roman"/>
          <w:color w:val="231F20"/>
          <w:kern w:val="0"/>
          <w:lang w:eastAsia="en-US" w:bidi="ar-SA"/>
        </w:rPr>
        <w:tab/>
      </w:r>
      <w:r w:rsidR="00D74D68" w:rsidRPr="00D74D68">
        <w:rPr>
          <w:rFonts w:eastAsiaTheme="minorHAnsi" w:cs="Times New Roman"/>
          <w:color w:val="231F20"/>
          <w:kern w:val="0"/>
          <w:lang w:eastAsia="en-US" w:bidi="ar-SA"/>
        </w:rPr>
        <w:t xml:space="preserve">Since claims </w:t>
      </w:r>
      <w:r>
        <w:rPr>
          <w:rFonts w:eastAsiaTheme="minorHAnsi" w:cs="Times New Roman"/>
          <w:color w:val="231F20"/>
          <w:kern w:val="0"/>
          <w:lang w:eastAsia="en-US" w:bidi="ar-SA"/>
        </w:rPr>
        <w:t>(1) and (2) are both incorrect––</w:t>
      </w:r>
      <w:r w:rsidR="00D74D68" w:rsidRPr="00D74D68">
        <w:rPr>
          <w:rFonts w:eastAsiaTheme="minorHAnsi" w:cs="Times New Roman"/>
          <w:color w:val="231F20"/>
          <w:kern w:val="0"/>
          <w:lang w:eastAsia="en-US" w:bidi="ar-SA"/>
        </w:rPr>
        <w:t xml:space="preserve">when </w:t>
      </w:r>
      <w:r w:rsidR="0071600A">
        <w:rPr>
          <w:rFonts w:eastAsiaTheme="minorHAnsi" w:cs="Times New Roman"/>
          <w:color w:val="231F20"/>
          <w:kern w:val="0"/>
          <w:lang w:eastAsia="en-US" w:bidi="ar-SA"/>
        </w:rPr>
        <w:t>“</w:t>
      </w:r>
      <w:r w:rsidR="00D74D68" w:rsidRPr="00D74D68">
        <w:rPr>
          <w:rFonts w:eastAsiaTheme="minorHAnsi" w:cs="Times New Roman"/>
          <w:color w:val="231F20"/>
          <w:kern w:val="0"/>
          <w:lang w:eastAsia="en-US" w:bidi="ar-SA"/>
        </w:rPr>
        <w:t>rate of profit</w:t>
      </w:r>
      <w:r w:rsidR="0071600A">
        <w:rPr>
          <w:rFonts w:eastAsiaTheme="minorHAnsi" w:cs="Times New Roman"/>
          <w:color w:val="231F20"/>
          <w:kern w:val="0"/>
          <w:lang w:eastAsia="en-US" w:bidi="ar-SA"/>
        </w:rPr>
        <w:t>”</w:t>
      </w:r>
      <w:r w:rsidR="00D74D68" w:rsidRPr="00D74D68">
        <w:rPr>
          <w:rFonts w:eastAsiaTheme="minorHAnsi" w:cs="Times New Roman"/>
          <w:color w:val="231F20"/>
          <w:kern w:val="0"/>
          <w:lang w:eastAsia="en-US" w:bidi="ar-SA"/>
        </w:rPr>
        <w:t xml:space="preserve"> is understood in the normal sense</w:t>
      </w:r>
      <w:r>
        <w:rPr>
          <w:rFonts w:eastAsiaTheme="minorHAnsi" w:cs="Times New Roman"/>
          <w:color w:val="231F20"/>
          <w:kern w:val="0"/>
          <w:lang w:eastAsia="en-US" w:bidi="ar-SA"/>
        </w:rPr>
        <w:t>––</w:t>
      </w:r>
      <w:r w:rsidR="00D74D68" w:rsidRPr="00D74D68">
        <w:rPr>
          <w:rFonts w:eastAsiaTheme="minorHAnsi" w:cs="Times New Roman"/>
          <w:color w:val="231F20"/>
          <w:kern w:val="0"/>
          <w:lang w:eastAsia="en-US" w:bidi="ar-SA"/>
        </w:rPr>
        <w:t xml:space="preserve">the decline in the rate of accumulation cannot be attributed to a diversion of </w:t>
      </w:r>
      <w:r w:rsidR="00D74D68" w:rsidRPr="00D74D68">
        <w:rPr>
          <w:rFonts w:eastAsiaTheme="minorHAnsi" w:cs="Times New Roman"/>
          <w:color w:val="231F20"/>
          <w:kern w:val="0"/>
          <w:lang w:eastAsia="en-US" w:bidi="ar-SA"/>
        </w:rPr>
        <w:lastRenderedPageBreak/>
        <w:t xml:space="preserve">profit from production that took place </w:t>
      </w:r>
      <w:r w:rsidR="008D15F8">
        <w:rPr>
          <w:rFonts w:eastAsiaTheme="minorHAnsi" w:cs="Times New Roman"/>
          <w:color w:val="231F20"/>
          <w:kern w:val="0"/>
          <w:lang w:eastAsia="en-US" w:bidi="ar-SA"/>
        </w:rPr>
        <w:t>because of</w:t>
      </w:r>
      <w:r w:rsidR="00D74D68" w:rsidRPr="00D74D68">
        <w:rPr>
          <w:rFonts w:eastAsiaTheme="minorHAnsi" w:cs="Times New Roman"/>
          <w:color w:val="231F20"/>
          <w:kern w:val="0"/>
          <w:lang w:eastAsia="en-US" w:bidi="ar-SA"/>
        </w:rPr>
        <w:t xml:space="preserve"> financialization and neoliberalism. </w:t>
      </w:r>
      <w:r w:rsidR="00D84948">
        <w:rPr>
          <w:rFonts w:eastAsiaTheme="minorHAnsi" w:cs="Times New Roman"/>
          <w:color w:val="231F20"/>
          <w:kern w:val="0"/>
          <w:lang w:eastAsia="en-US" w:bidi="ar-SA"/>
        </w:rPr>
        <w:t>Rather</w:t>
      </w:r>
      <w:r w:rsidR="00904087">
        <w:rPr>
          <w:rFonts w:eastAsiaTheme="minorHAnsi" w:cs="Times New Roman"/>
          <w:color w:val="231F20"/>
          <w:kern w:val="0"/>
          <w:lang w:eastAsia="en-US" w:bidi="ar-SA"/>
        </w:rPr>
        <w:t xml:space="preserve">, </w:t>
      </w:r>
      <w:r w:rsidR="00904087" w:rsidRPr="00D74D68">
        <w:rPr>
          <w:rFonts w:eastAsiaTheme="minorHAnsi" w:cs="Times New Roman"/>
          <w:color w:val="231F20"/>
          <w:kern w:val="0"/>
          <w:lang w:eastAsia="en-US" w:bidi="ar-SA"/>
        </w:rPr>
        <w:t>it</w:t>
      </w:r>
      <w:r w:rsidR="00D74D68" w:rsidRPr="00D74D68">
        <w:rPr>
          <w:rFonts w:eastAsiaTheme="minorHAnsi" w:cs="Times New Roman"/>
          <w:color w:val="231F20"/>
          <w:kern w:val="0"/>
          <w:lang w:eastAsia="en-US" w:bidi="ar-SA"/>
        </w:rPr>
        <w:t xml:space="preserve"> declined partly because the rate of profit declined, and partly because the investment share of profit, which was temporarily and unsustainably high at the start of the early 1980s, returned to normal levels. </w:t>
      </w:r>
    </w:p>
    <w:p w:rsidR="00BE2D16" w:rsidRDefault="00BE2D16" w:rsidP="00B12D7B">
      <w:pPr>
        <w:widowControl/>
        <w:suppressAutoHyphens w:val="0"/>
        <w:autoSpaceDE w:val="0"/>
        <w:autoSpaceDN w:val="0"/>
        <w:adjustRightInd w:val="0"/>
        <w:spacing w:line="480" w:lineRule="auto"/>
        <w:ind w:firstLine="706"/>
        <w:rPr>
          <w:rFonts w:eastAsiaTheme="minorHAnsi" w:cs="Times New Roman"/>
          <w:color w:val="231F20"/>
          <w:kern w:val="0"/>
          <w:lang w:eastAsia="en-US" w:bidi="ar-SA"/>
        </w:rPr>
      </w:pPr>
      <w:r>
        <w:rPr>
          <w:rFonts w:eastAsiaTheme="minorHAnsi" w:cs="Times New Roman"/>
          <w:color w:val="231F20"/>
          <w:kern w:val="0"/>
          <w:lang w:eastAsia="en-US" w:bidi="ar-SA"/>
        </w:rPr>
        <w:t xml:space="preserve">The change in the </w:t>
      </w:r>
      <w:r w:rsidRPr="00D74D68">
        <w:rPr>
          <w:rFonts w:eastAsiaTheme="minorHAnsi" w:cs="Times New Roman"/>
          <w:color w:val="231F20"/>
          <w:kern w:val="0"/>
          <w:lang w:eastAsia="en-US" w:bidi="ar-SA"/>
        </w:rPr>
        <w:t xml:space="preserve">rate of accumulation </w:t>
      </w:r>
      <w:r>
        <w:rPr>
          <w:rFonts w:eastAsiaTheme="minorHAnsi" w:cs="Times New Roman"/>
          <w:color w:val="231F20"/>
          <w:kern w:val="0"/>
          <w:lang w:eastAsia="en-US" w:bidi="ar-SA"/>
        </w:rPr>
        <w:t xml:space="preserve">can be decomposed into </w:t>
      </w:r>
      <w:r w:rsidRPr="00D74D68">
        <w:rPr>
          <w:rFonts w:eastAsiaTheme="minorHAnsi" w:cs="Times New Roman"/>
          <w:color w:val="231F20"/>
          <w:kern w:val="0"/>
          <w:lang w:eastAsia="en-US" w:bidi="ar-SA"/>
        </w:rPr>
        <w:t>changes in the investment share and changes in the rate of profit</w:t>
      </w:r>
      <w:r>
        <w:rPr>
          <w:rFonts w:eastAsiaTheme="minorHAnsi" w:cs="Times New Roman"/>
          <w:color w:val="231F20"/>
          <w:kern w:val="0"/>
          <w:lang w:eastAsia="en-US" w:bidi="ar-SA"/>
        </w:rPr>
        <w:t xml:space="preserve">. </w:t>
      </w:r>
      <w:r w:rsidR="00D74D68" w:rsidRPr="00D74D68">
        <w:rPr>
          <w:rFonts w:eastAsiaTheme="minorHAnsi" w:cs="Times New Roman"/>
          <w:color w:val="231F20"/>
          <w:kern w:val="0"/>
          <w:lang w:eastAsia="en-US" w:bidi="ar-SA"/>
        </w:rPr>
        <w:t xml:space="preserve">Since the rate of accumulation is, by definition, the product of the investment share </w:t>
      </w:r>
      <w:r w:rsidR="00CF04FD">
        <w:rPr>
          <w:rFonts w:eastAsiaTheme="minorHAnsi" w:cs="Times New Roman"/>
          <w:color w:val="231F20"/>
          <w:kern w:val="0"/>
          <w:lang w:eastAsia="en-US" w:bidi="ar-SA"/>
        </w:rPr>
        <w:t xml:space="preserve">of profit </w:t>
      </w:r>
      <w:r w:rsidR="00D74D68" w:rsidRPr="00D74D68">
        <w:rPr>
          <w:rFonts w:eastAsiaTheme="minorHAnsi" w:cs="Times New Roman"/>
          <w:color w:val="231F20"/>
          <w:kern w:val="0"/>
          <w:lang w:eastAsia="en-US" w:bidi="ar-SA"/>
        </w:rPr>
        <w:t xml:space="preserve">and the rate of profit, the percentage change in the rate of accumulation is approximately equal to the sum of the percentage changes in the investment share and </w:t>
      </w:r>
      <w:r w:rsidR="00D84948">
        <w:rPr>
          <w:rFonts w:eastAsiaTheme="minorHAnsi" w:cs="Times New Roman"/>
          <w:color w:val="231F20"/>
          <w:kern w:val="0"/>
          <w:lang w:eastAsia="en-US" w:bidi="ar-SA"/>
        </w:rPr>
        <w:t xml:space="preserve">the </w:t>
      </w:r>
      <w:r w:rsidR="00D74D68" w:rsidRPr="00D74D68">
        <w:rPr>
          <w:rFonts w:eastAsiaTheme="minorHAnsi" w:cs="Times New Roman"/>
          <w:color w:val="231F20"/>
          <w:kern w:val="0"/>
          <w:lang w:eastAsia="en-US" w:bidi="ar-SA"/>
        </w:rPr>
        <w:t>rate of profit. Th</w:t>
      </w:r>
      <w:r>
        <w:rPr>
          <w:rFonts w:eastAsiaTheme="minorHAnsi" w:cs="Times New Roman"/>
          <w:color w:val="231F20"/>
          <w:kern w:val="0"/>
          <w:lang w:eastAsia="en-US" w:bidi="ar-SA"/>
        </w:rPr>
        <w:t>is</w:t>
      </w:r>
      <w:r w:rsidR="00D74D68" w:rsidRPr="00D74D68">
        <w:rPr>
          <w:rFonts w:eastAsiaTheme="minorHAnsi" w:cs="Times New Roman"/>
          <w:color w:val="231F20"/>
          <w:kern w:val="0"/>
          <w:lang w:eastAsia="en-US" w:bidi="ar-SA"/>
        </w:rPr>
        <w:t xml:space="preserve"> </w:t>
      </w:r>
      <w:r w:rsidR="00CF04FD">
        <w:rPr>
          <w:rFonts w:eastAsiaTheme="minorHAnsi" w:cs="Times New Roman"/>
          <w:color w:val="231F20"/>
          <w:kern w:val="0"/>
          <w:lang w:eastAsia="en-US" w:bidi="ar-SA"/>
        </w:rPr>
        <w:t xml:space="preserve">relation </w:t>
      </w:r>
      <w:r w:rsidR="00D74D68" w:rsidRPr="00D74D68">
        <w:rPr>
          <w:rFonts w:eastAsiaTheme="minorHAnsi" w:cs="Times New Roman"/>
          <w:color w:val="231F20"/>
          <w:kern w:val="0"/>
          <w:lang w:eastAsia="en-US" w:bidi="ar-SA"/>
        </w:rPr>
        <w:t>will help us to assess movements in U.S. corporations</w:t>
      </w:r>
      <w:r w:rsidR="0071600A">
        <w:rPr>
          <w:rFonts w:eastAsiaTheme="minorHAnsi" w:cs="Times New Roman"/>
          <w:color w:val="231F20"/>
          <w:kern w:val="0"/>
          <w:lang w:eastAsia="en-US" w:bidi="ar-SA"/>
        </w:rPr>
        <w:t>’</w:t>
      </w:r>
      <w:r w:rsidR="00D74D68" w:rsidRPr="00D74D68">
        <w:rPr>
          <w:rFonts w:eastAsiaTheme="minorHAnsi" w:cs="Times New Roman"/>
          <w:color w:val="231F20"/>
          <w:kern w:val="0"/>
          <w:lang w:eastAsia="en-US" w:bidi="ar-SA"/>
        </w:rPr>
        <w:t xml:space="preserve"> rate of accumulation of fixed assets. </w:t>
      </w:r>
    </w:p>
    <w:p w:rsidR="00D74D68" w:rsidRPr="00D74D68" w:rsidRDefault="00D84948" w:rsidP="00B12D7B">
      <w:pPr>
        <w:widowControl/>
        <w:suppressAutoHyphens w:val="0"/>
        <w:autoSpaceDE w:val="0"/>
        <w:autoSpaceDN w:val="0"/>
        <w:adjustRightInd w:val="0"/>
        <w:spacing w:line="480" w:lineRule="auto"/>
        <w:ind w:firstLine="706"/>
        <w:rPr>
          <w:rFonts w:eastAsiaTheme="minorHAnsi" w:cs="Times New Roman"/>
          <w:color w:val="231F20"/>
          <w:kern w:val="0"/>
          <w:lang w:eastAsia="en-US" w:bidi="ar-SA"/>
        </w:rPr>
      </w:pPr>
      <w:r>
        <w:rPr>
          <w:rFonts w:eastAsiaTheme="minorHAnsi" w:cs="Times New Roman"/>
          <w:color w:val="231F20"/>
          <w:kern w:val="0"/>
          <w:lang w:eastAsia="en-US" w:bidi="ar-SA"/>
        </w:rPr>
        <w:t xml:space="preserve">The rate of accumulation peaked in </w:t>
      </w:r>
      <w:r w:rsidR="00D74D68" w:rsidRPr="00D74D68">
        <w:rPr>
          <w:rFonts w:eastAsiaTheme="minorHAnsi" w:cs="Times New Roman"/>
          <w:color w:val="231F20"/>
          <w:kern w:val="0"/>
          <w:lang w:eastAsia="en-US" w:bidi="ar-SA"/>
        </w:rPr>
        <w:t>1979</w:t>
      </w:r>
      <w:r>
        <w:rPr>
          <w:rFonts w:eastAsiaTheme="minorHAnsi" w:cs="Times New Roman"/>
          <w:color w:val="231F20"/>
          <w:kern w:val="0"/>
          <w:lang w:eastAsia="en-US" w:bidi="ar-SA"/>
        </w:rPr>
        <w:t xml:space="preserve">. Between that year </w:t>
      </w:r>
      <w:r w:rsidR="00904087">
        <w:rPr>
          <w:rFonts w:eastAsiaTheme="minorHAnsi" w:cs="Times New Roman"/>
          <w:color w:val="231F20"/>
          <w:kern w:val="0"/>
          <w:lang w:eastAsia="en-US" w:bidi="ar-SA"/>
        </w:rPr>
        <w:t xml:space="preserve">and </w:t>
      </w:r>
      <w:r w:rsidR="00904087" w:rsidRPr="00D74D68">
        <w:rPr>
          <w:rFonts w:eastAsiaTheme="minorHAnsi" w:cs="Times New Roman"/>
          <w:color w:val="231F20"/>
          <w:kern w:val="0"/>
          <w:lang w:eastAsia="en-US" w:bidi="ar-SA"/>
        </w:rPr>
        <w:t>2001</w:t>
      </w:r>
      <w:r w:rsidR="00D74D68" w:rsidRPr="00D74D68">
        <w:rPr>
          <w:rFonts w:eastAsiaTheme="minorHAnsi" w:cs="Times New Roman"/>
          <w:color w:val="231F20"/>
          <w:kern w:val="0"/>
          <w:lang w:eastAsia="en-US" w:bidi="ar-SA"/>
        </w:rPr>
        <w:t>, it fell by 61%, while the after-tax rate of profit fell by 41% and the investment share of after-tax profit fell by 34%. Thus, about 55% (= 41/[41 + 34]) of the decline in the rate of accumulation is attributable to the decline in the rate of profit, and 45% is attributable to the decline in the investment share. (The rate of accumulation then rose by 18% between 2001 and 2007, as a 47% rise in the rate of profit was only partly offset by a 20% fall in the investment share.</w:t>
      </w:r>
      <w:r>
        <w:rPr>
          <w:rFonts w:eastAsiaTheme="minorHAnsi" w:cs="Times New Roman"/>
          <w:color w:val="231F20"/>
          <w:kern w:val="0"/>
          <w:lang w:eastAsia="en-US" w:bidi="ar-SA"/>
        </w:rPr>
        <w:t>)</w:t>
      </w:r>
      <w:r w:rsidR="00D74D68" w:rsidRPr="00D74D68">
        <w:rPr>
          <w:rFonts w:eastAsiaTheme="minorHAnsi" w:cs="Times New Roman"/>
          <w:color w:val="231F20"/>
          <w:kern w:val="0"/>
          <w:lang w:eastAsia="en-US" w:bidi="ar-SA"/>
        </w:rPr>
        <w:t xml:space="preserve"> </w:t>
      </w:r>
    </w:p>
    <w:p w:rsidR="00D74D68" w:rsidRPr="00D74D68" w:rsidRDefault="00D74D68" w:rsidP="00B12D7B">
      <w:pPr>
        <w:widowControl/>
        <w:suppressAutoHyphens w:val="0"/>
        <w:autoSpaceDE w:val="0"/>
        <w:autoSpaceDN w:val="0"/>
        <w:adjustRightInd w:val="0"/>
        <w:spacing w:line="480" w:lineRule="auto"/>
        <w:ind w:firstLine="706"/>
        <w:rPr>
          <w:rFonts w:eastAsiaTheme="minorHAnsi" w:cs="Times New Roman"/>
          <w:color w:val="231F20"/>
          <w:kern w:val="0"/>
          <w:lang w:eastAsia="en-US" w:bidi="ar-SA"/>
        </w:rPr>
      </w:pPr>
      <w:r w:rsidRPr="00D74D68">
        <w:rPr>
          <w:rFonts w:eastAsiaTheme="minorHAnsi" w:cs="Times New Roman"/>
          <w:i/>
          <w:color w:val="231F20"/>
          <w:kern w:val="0"/>
          <w:lang w:eastAsia="en-US" w:bidi="ar-SA"/>
        </w:rPr>
        <w:t xml:space="preserve">Taking a longer view, of the post-World War II period as a whole, the fall in the rate of profit accounts for the entire fall in the rate of accumulation. </w:t>
      </w:r>
      <w:r w:rsidRPr="00D74D68">
        <w:rPr>
          <w:rFonts w:eastAsiaTheme="minorHAnsi" w:cs="Times New Roman"/>
          <w:color w:val="231F20"/>
          <w:kern w:val="0"/>
          <w:lang w:eastAsia="en-US" w:bidi="ar-SA"/>
        </w:rPr>
        <w:t xml:space="preserve">Figure </w:t>
      </w:r>
      <w:r w:rsidR="00CF04FD">
        <w:rPr>
          <w:rFonts w:eastAsiaTheme="minorHAnsi" w:cs="Times New Roman"/>
          <w:color w:val="231F20"/>
          <w:kern w:val="0"/>
          <w:lang w:eastAsia="en-US" w:bidi="ar-SA"/>
        </w:rPr>
        <w:t>14</w:t>
      </w:r>
      <w:r w:rsidR="00CF04FD" w:rsidRPr="00D74D68">
        <w:rPr>
          <w:rFonts w:eastAsiaTheme="minorHAnsi" w:cs="Times New Roman"/>
          <w:color w:val="231F20"/>
          <w:kern w:val="0"/>
          <w:lang w:eastAsia="en-US" w:bidi="ar-SA"/>
        </w:rPr>
        <w:t xml:space="preserve"> </w:t>
      </w:r>
      <w:r w:rsidR="00D84948">
        <w:rPr>
          <w:rFonts w:eastAsiaTheme="minorHAnsi" w:cs="Times New Roman"/>
          <w:color w:val="231F20"/>
          <w:kern w:val="0"/>
          <w:lang w:eastAsia="en-US" w:bidi="ar-SA"/>
        </w:rPr>
        <w:t xml:space="preserve">shows the percentages by which the variables differed </w:t>
      </w:r>
      <w:r w:rsidR="00625A70">
        <w:rPr>
          <w:rFonts w:eastAsiaTheme="minorHAnsi" w:cs="Times New Roman"/>
          <w:color w:val="231F20"/>
          <w:kern w:val="0"/>
          <w:lang w:eastAsia="en-US" w:bidi="ar-SA"/>
        </w:rPr>
        <w:t xml:space="preserve">from </w:t>
      </w:r>
      <w:r w:rsidR="00625A70" w:rsidRPr="00D74D68">
        <w:rPr>
          <w:rFonts w:eastAsiaTheme="minorHAnsi" w:cs="Times New Roman"/>
          <w:color w:val="231F20"/>
          <w:kern w:val="0"/>
          <w:lang w:eastAsia="en-US" w:bidi="ar-SA"/>
        </w:rPr>
        <w:t>their</w:t>
      </w:r>
      <w:r w:rsidRPr="00D74D68">
        <w:rPr>
          <w:rFonts w:eastAsiaTheme="minorHAnsi" w:cs="Times New Roman"/>
          <w:color w:val="231F20"/>
          <w:kern w:val="0"/>
          <w:lang w:eastAsia="en-US" w:bidi="ar-SA"/>
        </w:rPr>
        <w:t xml:space="preserve"> values in 1948. The rate of accumulation track</w:t>
      </w:r>
      <w:r w:rsidR="00D84948">
        <w:rPr>
          <w:rFonts w:eastAsiaTheme="minorHAnsi" w:cs="Times New Roman"/>
          <w:color w:val="231F20"/>
          <w:kern w:val="0"/>
          <w:lang w:eastAsia="en-US" w:bidi="ar-SA"/>
        </w:rPr>
        <w:t>ed</w:t>
      </w:r>
      <w:r w:rsidRPr="00D74D68">
        <w:rPr>
          <w:rFonts w:eastAsiaTheme="minorHAnsi" w:cs="Times New Roman"/>
          <w:color w:val="231F20"/>
          <w:kern w:val="0"/>
          <w:lang w:eastAsia="en-US" w:bidi="ar-SA"/>
        </w:rPr>
        <w:t xml:space="preserve"> the rate of profit relatively closely during the first two decades of the postwar period, and again during the last two decades. When the 1968–1986 period is omitted, variations in the rate of profit account for 48% of the variation in the rate of accumulation one year later and 52% of the variation in the rate of accumulation two years later. After 1967, a massive increase in the </w:t>
      </w:r>
    </w:p>
    <w:p w:rsidR="00D74D68" w:rsidRPr="00D74D68" w:rsidRDefault="00D74D68" w:rsidP="004A6F82">
      <w:pPr>
        <w:widowControl/>
        <w:suppressAutoHyphens w:val="0"/>
        <w:autoSpaceDE w:val="0"/>
        <w:autoSpaceDN w:val="0"/>
        <w:adjustRightInd w:val="0"/>
        <w:rPr>
          <w:rFonts w:eastAsiaTheme="minorHAnsi" w:cs="Times New Roman"/>
          <w:color w:val="231F20"/>
          <w:kern w:val="0"/>
          <w:lang w:eastAsia="en-US" w:bidi="ar-SA"/>
        </w:rPr>
      </w:pPr>
      <w:r w:rsidRPr="00D74D68">
        <w:rPr>
          <w:rFonts w:eastAsiaTheme="minorHAnsi" w:cs="Times New Roman"/>
          <w:b/>
          <w:color w:val="231F20"/>
          <w:kern w:val="0"/>
          <w:lang w:eastAsia="en-US" w:bidi="ar-SA"/>
        </w:rPr>
        <w:lastRenderedPageBreak/>
        <w:t xml:space="preserve">Figure </w:t>
      </w:r>
      <w:r w:rsidR="00370CED">
        <w:rPr>
          <w:rFonts w:eastAsiaTheme="minorHAnsi" w:cs="Times New Roman"/>
          <w:b/>
          <w:color w:val="231F20"/>
          <w:kern w:val="0"/>
          <w:lang w:eastAsia="en-US" w:bidi="ar-SA"/>
        </w:rPr>
        <w:t>14</w:t>
      </w:r>
      <w:r w:rsidRPr="00D74D68">
        <w:rPr>
          <w:rFonts w:eastAsiaTheme="minorHAnsi" w:cs="Times New Roman"/>
          <w:b/>
          <w:color w:val="231F20"/>
          <w:kern w:val="0"/>
          <w:lang w:eastAsia="en-US" w:bidi="ar-SA"/>
        </w:rPr>
        <w:t>. U.S. Corporations</w:t>
      </w:r>
      <w:r w:rsidR="0071600A">
        <w:rPr>
          <w:rFonts w:eastAsiaTheme="minorHAnsi" w:cs="Times New Roman"/>
          <w:b/>
          <w:color w:val="231F20"/>
          <w:kern w:val="0"/>
          <w:lang w:eastAsia="en-US" w:bidi="ar-SA"/>
        </w:rPr>
        <w:t>’</w:t>
      </w:r>
      <w:r w:rsidRPr="00D74D68">
        <w:rPr>
          <w:rFonts w:eastAsiaTheme="minorHAnsi" w:cs="Times New Roman"/>
          <w:b/>
          <w:color w:val="231F20"/>
          <w:kern w:val="0"/>
          <w:lang w:eastAsia="en-US" w:bidi="ar-SA"/>
        </w:rPr>
        <w:t xml:space="preserve"> Rate of Accumulation, After-Tax Rate of Profit, and Investment Share of After-Tax Profit</w:t>
      </w:r>
      <w:r w:rsidRPr="00D74D68">
        <w:rPr>
          <w:rFonts w:eastAsiaTheme="minorHAnsi" w:cs="Times New Roman"/>
          <w:color w:val="231F20"/>
          <w:kern w:val="0"/>
          <w:lang w:eastAsia="en-US" w:bidi="ar-SA"/>
        </w:rPr>
        <w:t xml:space="preserve"> </w:t>
      </w:r>
    </w:p>
    <w:p w:rsidR="00D74D68" w:rsidRPr="00D74D68" w:rsidRDefault="00D74D68" w:rsidP="004A6F82">
      <w:pPr>
        <w:widowControl/>
        <w:suppressAutoHyphens w:val="0"/>
        <w:autoSpaceDE w:val="0"/>
        <w:autoSpaceDN w:val="0"/>
        <w:adjustRightInd w:val="0"/>
        <w:rPr>
          <w:rFonts w:eastAsiaTheme="minorHAnsi" w:cs="Times New Roman"/>
          <w:color w:val="231F20"/>
          <w:kern w:val="0"/>
          <w:lang w:eastAsia="en-US" w:bidi="ar-SA"/>
        </w:rPr>
      </w:pPr>
      <w:r w:rsidRPr="00D74D68">
        <w:rPr>
          <w:rFonts w:eastAsiaTheme="minorHAnsi" w:cs="Times New Roman"/>
          <w:color w:val="231F20"/>
          <w:kern w:val="0"/>
          <w:lang w:eastAsia="en-US" w:bidi="ar-SA"/>
        </w:rPr>
        <w:t xml:space="preserve">(percentage differences from 1948 values) </w:t>
      </w:r>
    </w:p>
    <w:p w:rsidR="00D74D68" w:rsidRPr="00D74D68" w:rsidRDefault="00D74D68" w:rsidP="00B12D7B">
      <w:pPr>
        <w:widowControl/>
        <w:suppressAutoHyphens w:val="0"/>
        <w:autoSpaceDE w:val="0"/>
        <w:autoSpaceDN w:val="0"/>
        <w:adjustRightInd w:val="0"/>
        <w:spacing w:line="480" w:lineRule="auto"/>
        <w:rPr>
          <w:rFonts w:eastAsiaTheme="minorHAnsi" w:cs="Times New Roman"/>
          <w:color w:val="231F20"/>
          <w:kern w:val="0"/>
          <w:lang w:eastAsia="en-US" w:bidi="ar-SA"/>
        </w:rPr>
      </w:pPr>
      <w:r w:rsidRPr="00685F1F">
        <w:rPr>
          <w:rFonts w:asciiTheme="minorHAnsi" w:eastAsiaTheme="minorHAnsi" w:hAnsiTheme="minorHAnsi" w:cstheme="minorBidi"/>
          <w:noProof/>
          <w:kern w:val="0"/>
          <w:sz w:val="22"/>
          <w:szCs w:val="22"/>
          <w:lang w:eastAsia="en-US" w:bidi="ar-SA"/>
        </w:rPr>
        <w:drawing>
          <wp:inline distT="0" distB="0" distL="0" distR="0" wp14:anchorId="06ABBC59" wp14:editId="05655B22">
            <wp:extent cx="5854700" cy="36957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2B35" w:rsidRDefault="003B2B35" w:rsidP="00B12D7B">
      <w:pPr>
        <w:widowControl/>
        <w:suppressAutoHyphens w:val="0"/>
        <w:autoSpaceDE w:val="0"/>
        <w:autoSpaceDN w:val="0"/>
        <w:adjustRightInd w:val="0"/>
        <w:spacing w:line="720" w:lineRule="auto"/>
        <w:ind w:firstLine="706"/>
        <w:rPr>
          <w:rFonts w:eastAsiaTheme="minorHAnsi" w:cs="Times New Roman"/>
          <w:color w:val="231F20"/>
          <w:kern w:val="0"/>
          <w:lang w:eastAsia="en-US" w:bidi="ar-SA"/>
        </w:rPr>
      </w:pPr>
    </w:p>
    <w:p w:rsidR="00370CED" w:rsidRPr="00D74D68" w:rsidRDefault="002D056E" w:rsidP="00904087">
      <w:pPr>
        <w:widowControl/>
        <w:suppressAutoHyphens w:val="0"/>
        <w:autoSpaceDE w:val="0"/>
        <w:autoSpaceDN w:val="0"/>
        <w:adjustRightInd w:val="0"/>
        <w:spacing w:line="480" w:lineRule="auto"/>
        <w:rPr>
          <w:rFonts w:eastAsiaTheme="minorHAnsi" w:cs="Times New Roman"/>
          <w:color w:val="231F20"/>
          <w:kern w:val="0"/>
          <w:lang w:eastAsia="en-US" w:bidi="ar-SA"/>
        </w:rPr>
      </w:pPr>
      <w:r w:rsidRPr="00D74D68">
        <w:rPr>
          <w:rFonts w:eastAsiaTheme="minorHAnsi" w:cs="Times New Roman"/>
          <w:color w:val="231F20"/>
          <w:kern w:val="0"/>
          <w:lang w:eastAsia="en-US" w:bidi="ar-SA"/>
        </w:rPr>
        <w:t xml:space="preserve">investment share of profit occurred, which caused the rate of accumulation to rise substantially in relation to the rate of profit; yet because the investment share rose to unsustainable levels, it </w:t>
      </w:r>
      <w:r w:rsidR="00370CED" w:rsidRPr="00D74D68">
        <w:rPr>
          <w:rFonts w:eastAsiaTheme="minorHAnsi" w:cs="Times New Roman"/>
          <w:color w:val="231F20"/>
          <w:kern w:val="0"/>
          <w:lang w:eastAsia="en-US" w:bidi="ar-SA"/>
        </w:rPr>
        <w:t>began to plummet after 1981, and this brought movements in the rate of accumulation back in line with movements in the rate of profit.</w:t>
      </w:r>
      <w:r w:rsidR="00370CED" w:rsidRPr="00D74D68">
        <w:rPr>
          <w:rFonts w:eastAsiaTheme="minorHAnsi" w:cs="Times New Roman"/>
          <w:color w:val="231F20"/>
          <w:kern w:val="0"/>
          <w:vertAlign w:val="superscript"/>
          <w:lang w:eastAsia="en-US" w:bidi="ar-SA"/>
        </w:rPr>
        <w:footnoteReference w:id="20"/>
      </w:r>
      <w:r w:rsidR="00370CED" w:rsidRPr="00D74D68">
        <w:rPr>
          <w:rFonts w:eastAsiaTheme="minorHAnsi" w:cs="Times New Roman"/>
          <w:color w:val="231F20"/>
          <w:kern w:val="0"/>
          <w:lang w:eastAsia="en-US" w:bidi="ar-SA"/>
        </w:rPr>
        <w:t xml:space="preserve"> Thus, when all is said and done––</w:t>
      </w:r>
      <w:r w:rsidR="00370CED" w:rsidRPr="00D74D68">
        <w:rPr>
          <w:rFonts w:eastAsiaTheme="minorHAnsi" w:cs="Times New Roman"/>
          <w:color w:val="231F20"/>
          <w:kern w:val="0"/>
          <w:lang w:eastAsia="en-US" w:bidi="ar-SA"/>
        </w:rPr>
        <w:softHyphen/>
      </w:r>
      <w:r w:rsidR="00370CED" w:rsidRPr="00D74D68">
        <w:rPr>
          <w:rFonts w:eastAsiaTheme="minorHAnsi" w:cs="Times New Roman"/>
          <w:color w:val="231F20"/>
          <w:kern w:val="0"/>
          <w:lang w:eastAsia="en-US" w:bidi="ar-SA"/>
        </w:rPr>
        <w:softHyphen/>
        <w:t>i.e., when we</w:t>
      </w:r>
    </w:p>
    <w:p w:rsidR="00BE2D16" w:rsidRPr="00D74D68" w:rsidRDefault="00BE2D16" w:rsidP="00B12D7B">
      <w:pPr>
        <w:widowControl/>
        <w:suppressAutoHyphens w:val="0"/>
        <w:autoSpaceDE w:val="0"/>
        <w:autoSpaceDN w:val="0"/>
        <w:adjustRightInd w:val="0"/>
        <w:spacing w:line="480" w:lineRule="auto"/>
        <w:rPr>
          <w:rFonts w:eastAsiaTheme="minorHAnsi" w:cs="Times New Roman"/>
          <w:color w:val="231F20"/>
          <w:kern w:val="0"/>
          <w:lang w:eastAsia="en-US" w:bidi="ar-SA"/>
        </w:rPr>
      </w:pPr>
      <w:r w:rsidRPr="00D74D68">
        <w:rPr>
          <w:rFonts w:eastAsiaTheme="minorHAnsi" w:cs="Times New Roman"/>
          <w:color w:val="231F20"/>
          <w:kern w:val="0"/>
          <w:lang w:eastAsia="en-US" w:bidi="ar-SA"/>
        </w:rPr>
        <w:lastRenderedPageBreak/>
        <w:t xml:space="preserve">consider the entire postwar period––the investment share had very little to do with the decline in the rate of accumulation. Between 1948 and 2007, the rate of accumulation fell by 41%, while the investment share actually rose slightly, by 3%. The entire fall in the rate of accumulation is thus attributable to the 43% fall in the after-tax rate of profit, which was only offset a bit by the small rise in the investment share. </w:t>
      </w:r>
    </w:p>
    <w:p w:rsidR="00D813D6" w:rsidRPr="00D74D68" w:rsidRDefault="00D813D6" w:rsidP="00D813D6">
      <w:pPr>
        <w:widowControl/>
        <w:suppressAutoHyphens w:val="0"/>
        <w:autoSpaceDE w:val="0"/>
        <w:autoSpaceDN w:val="0"/>
        <w:adjustRightInd w:val="0"/>
        <w:spacing w:line="480" w:lineRule="auto"/>
        <w:ind w:firstLine="706"/>
        <w:rPr>
          <w:rFonts w:eastAsiaTheme="minorHAnsi" w:cs="Times New Roman"/>
          <w:color w:val="231F20"/>
          <w:kern w:val="0"/>
          <w:lang w:eastAsia="en-US" w:bidi="ar-SA"/>
        </w:rPr>
      </w:pPr>
      <w:r w:rsidRPr="00D74D68">
        <w:rPr>
          <w:rFonts w:eastAsiaTheme="minorHAnsi" w:cs="Times New Roman"/>
          <w:color w:val="231F20"/>
          <w:kern w:val="0"/>
          <w:lang w:eastAsia="en-US" w:bidi="ar-SA"/>
        </w:rPr>
        <w:t xml:space="preserve">This finding is not particularly surprising. That the rate of profit is a key determinant of the rate of accumulation is a staple of much economic thought, and indeed the relationship between them is perhaps the main reason why the rate of profit is of economic importance. What would be surprising is a persistent fall in the rate of accumulation despite a persistent rise in the rate of profit. Those who assert that such a divergence occurred under neoliberalism have called attention to the counterintuitive nature of this assertion (see, e.g., Husson 2008). </w:t>
      </w:r>
    </w:p>
    <w:p w:rsidR="00D74D68" w:rsidRPr="00AC7A8B" w:rsidRDefault="00D74D68" w:rsidP="00B12D7B">
      <w:pPr>
        <w:pStyle w:val="WW-Default"/>
        <w:suppressAutoHyphens w:val="0"/>
        <w:spacing w:line="720" w:lineRule="auto"/>
        <w:contextualSpacing/>
      </w:pPr>
    </w:p>
    <w:p w:rsidR="00204F41" w:rsidRPr="00AC7A8B" w:rsidRDefault="00F41C5F" w:rsidP="00B12D7B">
      <w:pPr>
        <w:pStyle w:val="BodyText"/>
        <w:widowControl/>
        <w:suppressAutoHyphens w:val="0"/>
        <w:spacing w:after="0" w:line="480" w:lineRule="auto"/>
        <w:contextualSpacing/>
        <w:jc w:val="center"/>
        <w:rPr>
          <w:rFonts w:cs="Times New Roman"/>
          <w:b/>
          <w:bCs/>
        </w:rPr>
      </w:pPr>
      <w:r>
        <w:rPr>
          <w:rFonts w:cs="Times New Roman"/>
          <w:b/>
          <w:bCs/>
        </w:rPr>
        <w:t xml:space="preserve">6. </w:t>
      </w:r>
      <w:r w:rsidR="00DF6479">
        <w:rPr>
          <w:rFonts w:cs="Times New Roman"/>
          <w:b/>
          <w:bCs/>
        </w:rPr>
        <w:t xml:space="preserve">Summary and </w:t>
      </w:r>
      <w:r w:rsidR="00204F41" w:rsidRPr="00AC7A8B">
        <w:rPr>
          <w:rFonts w:cs="Times New Roman"/>
          <w:b/>
          <w:bCs/>
        </w:rPr>
        <w:t>Conclusion</w:t>
      </w:r>
    </w:p>
    <w:p w:rsidR="00E9359A" w:rsidRDefault="00BE2D16" w:rsidP="00BE2D16">
      <w:pPr>
        <w:widowControl/>
        <w:suppressAutoHyphens w:val="0"/>
        <w:spacing w:line="480" w:lineRule="auto"/>
        <w:contextualSpacing/>
        <w:rPr>
          <w:rFonts w:eastAsia="Times New Roman" w:cs="Times New Roman"/>
          <w:color w:val="291201"/>
          <w:kern w:val="0"/>
          <w:lang w:val="en-CA" w:eastAsia="en-US" w:bidi="ar-SA"/>
        </w:rPr>
      </w:pPr>
      <w:r>
        <w:rPr>
          <w:rFonts w:eastAsia="Times New Roman" w:cs="Times New Roman"/>
          <w:color w:val="291201"/>
          <w:kern w:val="0"/>
          <w:lang w:val="en-CA" w:eastAsia="en-US" w:bidi="ar-SA"/>
        </w:rPr>
        <w:t xml:space="preserve">Various claims have been made in the financialization literature that </w:t>
      </w:r>
      <w:r w:rsidR="00E9359A">
        <w:rPr>
          <w:rFonts w:eastAsia="Times New Roman" w:cs="Times New Roman"/>
          <w:color w:val="291201"/>
          <w:kern w:val="0"/>
          <w:lang w:val="en-CA" w:eastAsia="en-US" w:bidi="ar-SA"/>
        </w:rPr>
        <w:t>profit has been dive</w:t>
      </w:r>
      <w:r>
        <w:rPr>
          <w:rFonts w:eastAsia="Times New Roman" w:cs="Times New Roman"/>
          <w:color w:val="291201"/>
          <w:kern w:val="0"/>
          <w:lang w:val="en-CA" w:eastAsia="en-US" w:bidi="ar-SA"/>
        </w:rPr>
        <w:t xml:space="preserve">rted from investment in production to financial </w:t>
      </w:r>
      <w:r w:rsidR="00904087">
        <w:rPr>
          <w:rFonts w:eastAsia="Times New Roman" w:cs="Times New Roman"/>
          <w:color w:val="291201"/>
          <w:kern w:val="0"/>
          <w:lang w:val="en-CA" w:eastAsia="en-US" w:bidi="ar-SA"/>
        </w:rPr>
        <w:t>purchases</w:t>
      </w:r>
      <w:r>
        <w:rPr>
          <w:rFonts w:eastAsia="Times New Roman" w:cs="Times New Roman"/>
          <w:color w:val="291201"/>
          <w:kern w:val="0"/>
          <w:lang w:val="en-CA" w:eastAsia="en-US" w:bidi="ar-SA"/>
        </w:rPr>
        <w:t xml:space="preserve"> and payments as a result of financialization and/or neoliberalism. This paper has shown that such claims are not correct </w:t>
      </w:r>
      <w:r w:rsidR="00193E2F">
        <w:rPr>
          <w:rFonts w:eastAsia="Times New Roman" w:cs="Times New Roman"/>
          <w:color w:val="291201"/>
          <w:kern w:val="0"/>
          <w:lang w:val="en-CA" w:eastAsia="en-US" w:bidi="ar-SA"/>
        </w:rPr>
        <w:t xml:space="preserve">in the case of U.S. corporations. The share of profit invested in production was greater during the first two decades of neoliberalism than during the preceding decades. Moreover, when we controlled for the rise in </w:t>
      </w:r>
      <w:r w:rsidR="00193E2F">
        <w:rPr>
          <w:rFonts w:eastAsia="Times New Roman" w:cs="Times New Roman"/>
          <w:color w:val="291201"/>
          <w:kern w:val="0"/>
          <w:lang w:val="en-CA" w:eastAsia="en-US" w:bidi="ar-SA"/>
        </w:rPr>
        <w:lastRenderedPageBreak/>
        <w:t xml:space="preserve">the rate of depreciation––a rise that resulted from the information-technology revolution, not financialization or neoliberalism––we found that the share of profit invested in production was as great or greater throughout the neoliberal period as a whole than during the preceding decades. </w:t>
      </w:r>
      <w:r w:rsidR="00E9359A">
        <w:rPr>
          <w:rFonts w:eastAsia="Times New Roman" w:cs="Times New Roman"/>
          <w:color w:val="291201"/>
          <w:kern w:val="0"/>
          <w:lang w:val="en-CA" w:eastAsia="en-US" w:bidi="ar-SA"/>
        </w:rPr>
        <w:t>A</w:t>
      </w:r>
      <w:r w:rsidR="00193E2F">
        <w:rPr>
          <w:rFonts w:eastAsia="Times New Roman" w:cs="Times New Roman"/>
          <w:color w:val="291201"/>
          <w:kern w:val="0"/>
          <w:lang w:val="en-CA" w:eastAsia="en-US" w:bidi="ar-SA"/>
        </w:rPr>
        <w:t xml:space="preserve">lthough the investment share of profit did decline after the early 1980s, the paper has shown that </w:t>
      </w:r>
      <w:r w:rsidR="002E329B">
        <w:rPr>
          <w:rFonts w:eastAsia="Times New Roman" w:cs="Times New Roman"/>
          <w:color w:val="291201"/>
          <w:kern w:val="0"/>
          <w:lang w:val="en-CA" w:eastAsia="en-US" w:bidi="ar-SA"/>
        </w:rPr>
        <w:t>it declined from unsustainably high levels</w:t>
      </w:r>
      <w:r w:rsidR="00E9359A">
        <w:rPr>
          <w:rFonts w:eastAsia="Times New Roman" w:cs="Times New Roman"/>
          <w:color w:val="291201"/>
          <w:kern w:val="0"/>
          <w:lang w:val="en-CA" w:eastAsia="en-US" w:bidi="ar-SA"/>
        </w:rPr>
        <w:t xml:space="preserve"> (close to or in excess of 100% of after-tax profit)</w:t>
      </w:r>
      <w:r w:rsidR="002E329B">
        <w:rPr>
          <w:rFonts w:eastAsia="Times New Roman" w:cs="Times New Roman"/>
          <w:color w:val="291201"/>
          <w:kern w:val="0"/>
          <w:lang w:val="en-CA" w:eastAsia="en-US" w:bidi="ar-SA"/>
        </w:rPr>
        <w:t xml:space="preserve"> to levels that were typical during the first quarter-century of the post-World War II period</w:t>
      </w:r>
      <w:r w:rsidR="00E9359A">
        <w:rPr>
          <w:rFonts w:eastAsia="Times New Roman" w:cs="Times New Roman"/>
          <w:color w:val="291201"/>
          <w:kern w:val="0"/>
          <w:lang w:val="en-CA" w:eastAsia="en-US" w:bidi="ar-SA"/>
        </w:rPr>
        <w:t>. T</w:t>
      </w:r>
      <w:r w:rsidR="002E329B">
        <w:rPr>
          <w:rFonts w:eastAsia="Times New Roman" w:cs="Times New Roman"/>
          <w:color w:val="291201"/>
          <w:kern w:val="0"/>
          <w:lang w:val="en-CA" w:eastAsia="en-US" w:bidi="ar-SA"/>
        </w:rPr>
        <w:t xml:space="preserve">he </w:t>
      </w:r>
      <w:r w:rsidR="00193E2F">
        <w:rPr>
          <w:rFonts w:eastAsia="Times New Roman" w:cs="Times New Roman"/>
          <w:color w:val="291201"/>
          <w:kern w:val="0"/>
          <w:lang w:val="en-CA" w:eastAsia="en-US" w:bidi="ar-SA"/>
        </w:rPr>
        <w:t xml:space="preserve">decline </w:t>
      </w:r>
      <w:r w:rsidR="002E329B">
        <w:rPr>
          <w:rFonts w:eastAsia="Times New Roman" w:cs="Times New Roman"/>
          <w:color w:val="291201"/>
          <w:kern w:val="0"/>
          <w:lang w:val="en-CA" w:eastAsia="en-US" w:bidi="ar-SA"/>
        </w:rPr>
        <w:t xml:space="preserve">therefore </w:t>
      </w:r>
      <w:r w:rsidR="00193E2F">
        <w:rPr>
          <w:rFonts w:eastAsia="Times New Roman" w:cs="Times New Roman"/>
          <w:color w:val="291201"/>
          <w:kern w:val="0"/>
          <w:lang w:val="en-CA" w:eastAsia="en-US" w:bidi="ar-SA"/>
        </w:rPr>
        <w:t>cannot be a</w:t>
      </w:r>
      <w:r w:rsidR="002E329B">
        <w:rPr>
          <w:rFonts w:eastAsia="Times New Roman" w:cs="Times New Roman"/>
          <w:color w:val="291201"/>
          <w:kern w:val="0"/>
          <w:lang w:val="en-CA" w:eastAsia="en-US" w:bidi="ar-SA"/>
        </w:rPr>
        <w:t xml:space="preserve">ttributed to financialization or neoliberalism. </w:t>
      </w:r>
    </w:p>
    <w:p w:rsidR="00E9359A" w:rsidRDefault="00E9359A" w:rsidP="00C303D1">
      <w:pPr>
        <w:widowControl/>
        <w:suppressAutoHyphens w:val="0"/>
        <w:spacing w:line="480" w:lineRule="auto"/>
        <w:ind w:firstLine="706"/>
        <w:contextualSpacing/>
        <w:rPr>
          <w:rFonts w:cs="Times New Roman"/>
          <w:color w:val="000000"/>
        </w:rPr>
      </w:pPr>
      <w:r>
        <w:rPr>
          <w:rFonts w:eastAsia="Times New Roman" w:cs="Times New Roman"/>
          <w:color w:val="291201"/>
          <w:kern w:val="0"/>
          <w:lang w:val="en-CA" w:eastAsia="en-US" w:bidi="ar-SA"/>
        </w:rPr>
        <w:t>T</w:t>
      </w:r>
      <w:r w:rsidR="002E329B">
        <w:rPr>
          <w:rFonts w:eastAsia="Times New Roman" w:cs="Times New Roman"/>
          <w:color w:val="291201"/>
          <w:kern w:val="0"/>
          <w:lang w:val="en-CA" w:eastAsia="en-US" w:bidi="ar-SA"/>
        </w:rPr>
        <w:t xml:space="preserve">he paper has </w:t>
      </w:r>
      <w:r>
        <w:rPr>
          <w:rFonts w:eastAsia="Times New Roman" w:cs="Times New Roman"/>
          <w:color w:val="291201"/>
          <w:kern w:val="0"/>
          <w:lang w:val="en-CA" w:eastAsia="en-US" w:bidi="ar-SA"/>
        </w:rPr>
        <w:t xml:space="preserve">also </w:t>
      </w:r>
      <w:r w:rsidR="002E329B">
        <w:rPr>
          <w:rFonts w:eastAsia="Times New Roman" w:cs="Times New Roman"/>
          <w:color w:val="291201"/>
          <w:kern w:val="0"/>
          <w:lang w:val="en-CA" w:eastAsia="en-US" w:bidi="ar-SA"/>
        </w:rPr>
        <w:t>shown that the entire fall in U.S. corporations</w:t>
      </w:r>
      <w:r w:rsidR="0071600A">
        <w:rPr>
          <w:rFonts w:eastAsia="Times New Roman" w:cs="Times New Roman"/>
          <w:color w:val="291201"/>
          <w:kern w:val="0"/>
          <w:lang w:val="en-CA" w:eastAsia="en-US" w:bidi="ar-SA"/>
        </w:rPr>
        <w:t>’</w:t>
      </w:r>
      <w:r w:rsidR="002E329B">
        <w:rPr>
          <w:rFonts w:eastAsia="Times New Roman" w:cs="Times New Roman"/>
          <w:color w:val="291201"/>
          <w:kern w:val="0"/>
          <w:lang w:val="en-CA" w:eastAsia="en-US" w:bidi="ar-SA"/>
        </w:rPr>
        <w:t xml:space="preserve"> rate of accumulation between 1948 and 2007 is attributable to the fall in their rate of profit, rather than to a diversion of profit from investment. Moreover, </w:t>
      </w:r>
      <w:r>
        <w:rPr>
          <w:rFonts w:eastAsia="Times New Roman" w:cs="Times New Roman"/>
          <w:color w:val="291201"/>
          <w:kern w:val="0"/>
          <w:lang w:val="en-CA" w:eastAsia="en-US" w:bidi="ar-SA"/>
        </w:rPr>
        <w:t>somewhat more than half of</w:t>
      </w:r>
      <w:r w:rsidR="002E329B">
        <w:rPr>
          <w:rFonts w:eastAsia="Times New Roman" w:cs="Times New Roman"/>
          <w:color w:val="291201"/>
          <w:kern w:val="0"/>
          <w:lang w:val="en-CA" w:eastAsia="en-US" w:bidi="ar-SA"/>
        </w:rPr>
        <w:t xml:space="preserve"> the steep decline in the rate of accumulation that took place between 1979 and 2001 </w:t>
      </w:r>
      <w:r w:rsidR="002E329B">
        <w:rPr>
          <w:rFonts w:cs="Times New Roman"/>
          <w:color w:val="000000"/>
        </w:rPr>
        <w:t xml:space="preserve">is attributable to </w:t>
      </w:r>
      <w:r>
        <w:rPr>
          <w:rFonts w:cs="Times New Roman"/>
          <w:color w:val="000000"/>
        </w:rPr>
        <w:t xml:space="preserve">the fall </w:t>
      </w:r>
      <w:r w:rsidR="002E329B">
        <w:rPr>
          <w:rFonts w:cs="Times New Roman"/>
          <w:color w:val="000000"/>
        </w:rPr>
        <w:t xml:space="preserve">in the rate of profit while the remainder is </w:t>
      </w:r>
      <w:r>
        <w:rPr>
          <w:rFonts w:cs="Times New Roman"/>
          <w:color w:val="000000"/>
        </w:rPr>
        <w:t>due</w:t>
      </w:r>
      <w:r w:rsidR="002E329B">
        <w:rPr>
          <w:rFonts w:cs="Times New Roman"/>
          <w:color w:val="000000"/>
        </w:rPr>
        <w:t xml:space="preserve"> to the fact that the investment share of profit returned to normal levels</w:t>
      </w:r>
      <w:r>
        <w:rPr>
          <w:rFonts w:cs="Times New Roman"/>
          <w:color w:val="000000"/>
        </w:rPr>
        <w:t xml:space="preserve"> after having been unsustainably high.</w:t>
      </w:r>
    </w:p>
    <w:p w:rsidR="00BE6ABF" w:rsidRDefault="00E9359A" w:rsidP="00C303D1">
      <w:pPr>
        <w:widowControl/>
        <w:suppressAutoHyphens w:val="0"/>
        <w:spacing w:line="480" w:lineRule="auto"/>
        <w:ind w:firstLine="706"/>
        <w:contextualSpacing/>
        <w:rPr>
          <w:rFonts w:cs="Times New Roman"/>
          <w:color w:val="000000"/>
        </w:rPr>
      </w:pPr>
      <w:r>
        <w:rPr>
          <w:rFonts w:cs="Times New Roman"/>
          <w:color w:val="000000"/>
        </w:rPr>
        <w:t>In order to account for the fact that profit has not been diverted from production even though financial purchases and payments have increased much more rapidly than have profits, the paper has e</w:t>
      </w:r>
      <w:r w:rsidR="000809C7">
        <w:rPr>
          <w:rFonts w:cs="Times New Roman"/>
          <w:color w:val="000000"/>
        </w:rPr>
        <w:t>m</w:t>
      </w:r>
      <w:r>
        <w:rPr>
          <w:rFonts w:cs="Times New Roman"/>
          <w:color w:val="000000"/>
        </w:rPr>
        <w:t>phasi</w:t>
      </w:r>
      <w:r w:rsidR="000809C7">
        <w:rPr>
          <w:rFonts w:cs="Times New Roman"/>
          <w:color w:val="000000"/>
        </w:rPr>
        <w:t>z</w:t>
      </w:r>
      <w:r>
        <w:rPr>
          <w:rFonts w:cs="Times New Roman"/>
          <w:color w:val="000000"/>
        </w:rPr>
        <w:t xml:space="preserve">ed the fact </w:t>
      </w:r>
      <w:r w:rsidR="000809C7">
        <w:rPr>
          <w:rFonts w:cs="Times New Roman"/>
          <w:color w:val="000000"/>
        </w:rPr>
        <w:t xml:space="preserve">that corporations make use of borrowed funds as well as profit, and that credit markets have been an increasing important source of funding. </w:t>
      </w:r>
    </w:p>
    <w:p w:rsidR="004A6F82" w:rsidRDefault="00BE6ABF" w:rsidP="00C303D1">
      <w:pPr>
        <w:widowControl/>
        <w:suppressAutoHyphens w:val="0"/>
        <w:spacing w:line="480" w:lineRule="auto"/>
        <w:ind w:firstLine="706"/>
        <w:contextualSpacing/>
        <w:rPr>
          <w:rFonts w:cs="Times New Roman"/>
          <w:color w:val="000000"/>
        </w:rPr>
      </w:pPr>
      <w:r>
        <w:rPr>
          <w:rFonts w:cs="Times New Roman"/>
          <w:color w:val="000000"/>
        </w:rPr>
        <w:t xml:space="preserve">There is no single reason why </w:t>
      </w:r>
      <w:r w:rsidR="00E9359A">
        <w:rPr>
          <w:rFonts w:cs="Times New Roman"/>
          <w:color w:val="000000"/>
        </w:rPr>
        <w:t>incorrect claims have been made about how financialization and neoliberalism have affected productive investment</w:t>
      </w:r>
      <w:r>
        <w:rPr>
          <w:rFonts w:cs="Times New Roman"/>
          <w:color w:val="000000"/>
        </w:rPr>
        <w:t xml:space="preserve">. The paper has called attention to a few different incorrect inferences that have been drawn from the data. We wish to conclude by re-emphasizing what seems to be the main problem, in the hope that subsequent contributions to the financial literature will not be burdened by it. </w:t>
      </w:r>
      <w:r w:rsidR="00F015A5">
        <w:rPr>
          <w:rFonts w:cs="Times New Roman"/>
          <w:color w:val="000000"/>
        </w:rPr>
        <w:t xml:space="preserve">We are referring to the inference </w:t>
      </w:r>
      <w:r w:rsidR="00CA77EC">
        <w:rPr>
          <w:rFonts w:cs="Times New Roman"/>
          <w:color w:val="000000"/>
        </w:rPr>
        <w:t>that––or perhaps a use of language that misleadingly suggests that––an increase in</w:t>
      </w:r>
      <w:r w:rsidR="00EC7774">
        <w:rPr>
          <w:rFonts w:cs="Times New Roman"/>
          <w:color w:val="000000"/>
        </w:rPr>
        <w:t xml:space="preserve"> </w:t>
      </w:r>
      <w:r w:rsidR="00F015A5">
        <w:rPr>
          <w:rFonts w:cs="Times New Roman"/>
          <w:color w:val="000000"/>
        </w:rPr>
        <w:lastRenderedPageBreak/>
        <w:t xml:space="preserve">financial payments or purchases </w:t>
      </w:r>
      <w:r w:rsidR="00CA77EC">
        <w:rPr>
          <w:rFonts w:cs="Times New Roman"/>
          <w:color w:val="000000"/>
        </w:rPr>
        <w:t xml:space="preserve">relative to some </w:t>
      </w:r>
      <w:r w:rsidR="00904087">
        <w:rPr>
          <w:rFonts w:cs="Times New Roman"/>
          <w:color w:val="000000"/>
        </w:rPr>
        <w:t>source</w:t>
      </w:r>
      <w:r w:rsidR="00CA77EC">
        <w:rPr>
          <w:rFonts w:cs="Times New Roman"/>
          <w:color w:val="000000"/>
        </w:rPr>
        <w:t xml:space="preserve"> of funds (profits, internal funds, etc.) implies that funds have been diverted from productive investment. A</w:t>
      </w:r>
      <w:r w:rsidR="00EC7774">
        <w:rPr>
          <w:rFonts w:cs="Times New Roman"/>
          <w:color w:val="000000"/>
        </w:rPr>
        <w:t xml:space="preserve"> world in which additional credit is created </w:t>
      </w:r>
      <w:r w:rsidR="00EC7774">
        <w:rPr>
          <w:rFonts w:cs="Times New Roman"/>
          <w:i/>
          <w:color w:val="000000"/>
        </w:rPr>
        <w:t xml:space="preserve">ex nihilo </w:t>
      </w:r>
      <w:r w:rsidR="00EC7774">
        <w:rPr>
          <w:rFonts w:cs="Times New Roman"/>
          <w:color w:val="000000"/>
        </w:rPr>
        <w:t>and backed by nothing more than promises to repay</w:t>
      </w:r>
      <w:r w:rsidR="004A6F82">
        <w:rPr>
          <w:rFonts w:cs="Times New Roman"/>
          <w:color w:val="000000"/>
        </w:rPr>
        <w:t>––especially a world in which this phenomenon is increasingly significant––</w:t>
      </w:r>
      <w:r w:rsidR="00CA77EC">
        <w:rPr>
          <w:rFonts w:cs="Times New Roman"/>
          <w:color w:val="000000"/>
        </w:rPr>
        <w:t xml:space="preserve">is not a constant-sum game. </w:t>
      </w:r>
      <w:r w:rsidR="004A6F82">
        <w:rPr>
          <w:rFonts w:cs="Times New Roman"/>
          <w:color w:val="000000"/>
        </w:rPr>
        <w:t>The recent financial crisis has shown once again that this phenomenon is certainly not free of costs. But a diversion of profit from production has not been among these costs.</w:t>
      </w:r>
    </w:p>
    <w:p w:rsidR="001A0904" w:rsidRDefault="001A0904" w:rsidP="00B12D7B">
      <w:pPr>
        <w:widowControl/>
        <w:suppressAutoHyphens w:val="0"/>
        <w:autoSpaceDE w:val="0"/>
        <w:autoSpaceDN w:val="0"/>
        <w:adjustRightInd w:val="0"/>
        <w:spacing w:line="480" w:lineRule="auto"/>
      </w:pPr>
    </w:p>
    <w:p w:rsidR="001A0904" w:rsidRDefault="001A0904" w:rsidP="00B12D7B">
      <w:pPr>
        <w:widowControl/>
        <w:suppressAutoHyphens w:val="0"/>
        <w:autoSpaceDE w:val="0"/>
        <w:autoSpaceDN w:val="0"/>
        <w:adjustRightInd w:val="0"/>
        <w:spacing w:line="480" w:lineRule="auto"/>
      </w:pPr>
    </w:p>
    <w:p w:rsidR="001A0904" w:rsidRPr="001A0904" w:rsidRDefault="001A0904" w:rsidP="00B12D7B">
      <w:pPr>
        <w:widowControl/>
        <w:suppressAutoHyphens w:val="0"/>
        <w:spacing w:after="200" w:line="480" w:lineRule="auto"/>
        <w:jc w:val="center"/>
        <w:rPr>
          <w:rFonts w:eastAsiaTheme="minorHAnsi" w:cs="Times New Roman"/>
          <w:b/>
          <w:kern w:val="0"/>
          <w:sz w:val="22"/>
          <w:szCs w:val="22"/>
          <w:lang w:eastAsia="en-US" w:bidi="ar-SA"/>
        </w:rPr>
      </w:pPr>
      <w:r w:rsidRPr="001A0904">
        <w:rPr>
          <w:rFonts w:eastAsiaTheme="minorHAnsi" w:cs="Times New Roman"/>
          <w:b/>
          <w:kern w:val="0"/>
          <w:sz w:val="22"/>
          <w:szCs w:val="22"/>
          <w:lang w:eastAsia="en-US" w:bidi="ar-SA"/>
        </w:rPr>
        <w:t>Works Cited</w:t>
      </w:r>
    </w:p>
    <w:p w:rsidR="00DB4C5A" w:rsidRPr="00DB4C5A" w:rsidRDefault="00DB4C5A" w:rsidP="00226268">
      <w:pPr>
        <w:widowControl/>
        <w:suppressAutoHyphens w:val="0"/>
        <w:spacing w:line="480" w:lineRule="auto"/>
        <w:rPr>
          <w:rFonts w:eastAsiaTheme="minorHAnsi" w:cs="Times New Roman"/>
          <w:kern w:val="0"/>
          <w:lang w:eastAsia="en-US" w:bidi="ar-SA"/>
        </w:rPr>
      </w:pPr>
      <w:r>
        <w:rPr>
          <w:rFonts w:eastAsiaTheme="minorHAnsi" w:cs="Times New Roman"/>
          <w:kern w:val="0"/>
          <w:lang w:eastAsia="en-US" w:bidi="ar-SA"/>
        </w:rPr>
        <w:t xml:space="preserve">Davis, Gerald F. 2009. </w:t>
      </w:r>
      <w:r w:rsidRPr="00DB4C5A">
        <w:rPr>
          <w:rFonts w:eastAsiaTheme="minorHAnsi" w:cs="Times New Roman"/>
          <w:i/>
          <w:kern w:val="0"/>
          <w:lang w:eastAsia="en-US" w:bidi="ar-SA"/>
        </w:rPr>
        <w:t>Managed by the Markets: How Finance Reshaped America.</w:t>
      </w:r>
      <w:r w:rsidRPr="00DB4C5A">
        <w:rPr>
          <w:rFonts w:eastAsiaTheme="minorHAnsi" w:cs="Times New Roman"/>
          <w:kern w:val="0"/>
          <w:lang w:eastAsia="en-US" w:bidi="ar-SA"/>
        </w:rPr>
        <w:t xml:space="preserve"> Oxford:</w:t>
      </w:r>
    </w:p>
    <w:p w:rsidR="00DB4C5A" w:rsidRPr="00DB4C5A" w:rsidRDefault="00DB4C5A" w:rsidP="00226268">
      <w:pPr>
        <w:widowControl/>
        <w:suppressAutoHyphens w:val="0"/>
        <w:spacing w:line="480" w:lineRule="auto"/>
        <w:rPr>
          <w:rFonts w:eastAsiaTheme="minorHAnsi" w:cs="Times New Roman"/>
          <w:kern w:val="0"/>
          <w:lang w:eastAsia="en-US" w:bidi="ar-SA"/>
        </w:rPr>
      </w:pPr>
      <w:r>
        <w:rPr>
          <w:rFonts w:eastAsiaTheme="minorHAnsi" w:cs="Times New Roman"/>
          <w:kern w:val="0"/>
          <w:lang w:eastAsia="en-US" w:bidi="ar-SA"/>
        </w:rPr>
        <w:tab/>
      </w:r>
      <w:r w:rsidRPr="00DB4C5A">
        <w:rPr>
          <w:rFonts w:eastAsiaTheme="minorHAnsi" w:cs="Times New Roman"/>
          <w:kern w:val="0"/>
          <w:lang w:eastAsia="en-US" w:bidi="ar-SA"/>
        </w:rPr>
        <w:t>Oxford University Press.</w:t>
      </w:r>
    </w:p>
    <w:p w:rsidR="00DB4C5A" w:rsidRDefault="00DB4C5A" w:rsidP="00226268">
      <w:pPr>
        <w:widowControl/>
        <w:suppressAutoHyphens w:val="0"/>
        <w:rPr>
          <w:rFonts w:eastAsia="Times New Roman" w:cs="Times New Roman"/>
          <w:kern w:val="0"/>
          <w:lang w:eastAsia="en-US" w:bidi="ar-SA"/>
        </w:rPr>
      </w:pPr>
    </w:p>
    <w:p w:rsidR="00DB4C5A" w:rsidRPr="00DB4C5A" w:rsidRDefault="00DB4C5A" w:rsidP="00226268">
      <w:pPr>
        <w:widowControl/>
        <w:suppressAutoHyphens w:val="0"/>
        <w:spacing w:line="480" w:lineRule="auto"/>
        <w:rPr>
          <w:rFonts w:eastAsia="Times New Roman" w:cs="Times New Roman"/>
          <w:kern w:val="0"/>
          <w:lang w:eastAsia="en-US" w:bidi="ar-SA"/>
        </w:rPr>
      </w:pPr>
      <w:r w:rsidRPr="00DB4C5A">
        <w:rPr>
          <w:rFonts w:eastAsia="Times New Roman" w:cs="Times New Roman"/>
          <w:kern w:val="0"/>
          <w:lang w:eastAsia="en-US" w:bidi="ar-SA"/>
        </w:rPr>
        <w:t xml:space="preserve">Dobbin, Frank, and Dirk Zorn. 2005. </w:t>
      </w:r>
      <w:r w:rsidR="0071600A">
        <w:rPr>
          <w:rFonts w:eastAsia="Times New Roman" w:cs="Times New Roman"/>
          <w:kern w:val="0"/>
          <w:lang w:eastAsia="en-US" w:bidi="ar-SA"/>
        </w:rPr>
        <w:t>“</w:t>
      </w:r>
      <w:r w:rsidRPr="00DB4C5A">
        <w:rPr>
          <w:rFonts w:eastAsia="Times New Roman" w:cs="Times New Roman"/>
          <w:kern w:val="0"/>
          <w:lang w:eastAsia="en-US" w:bidi="ar-SA"/>
        </w:rPr>
        <w:t xml:space="preserve">Corporate Malfeasance and the Myth of Shareholder </w:t>
      </w:r>
      <w:r>
        <w:rPr>
          <w:rFonts w:eastAsia="Times New Roman" w:cs="Times New Roman"/>
          <w:kern w:val="0"/>
          <w:lang w:eastAsia="en-US" w:bidi="ar-SA"/>
        </w:rPr>
        <w:tab/>
      </w:r>
      <w:r w:rsidRPr="00DB4C5A">
        <w:rPr>
          <w:rFonts w:eastAsia="Times New Roman" w:cs="Times New Roman"/>
          <w:kern w:val="0"/>
          <w:lang w:eastAsia="en-US" w:bidi="ar-SA"/>
        </w:rPr>
        <w:t>Value.</w:t>
      </w:r>
      <w:r w:rsidR="0071600A">
        <w:rPr>
          <w:rFonts w:eastAsia="Times New Roman" w:cs="Times New Roman"/>
          <w:kern w:val="0"/>
          <w:lang w:eastAsia="en-US" w:bidi="ar-SA"/>
        </w:rPr>
        <w:t>”</w:t>
      </w:r>
      <w:r w:rsidRPr="00DB4C5A">
        <w:rPr>
          <w:rFonts w:eastAsia="Times New Roman" w:cs="Times New Roman"/>
          <w:kern w:val="0"/>
          <w:lang w:eastAsia="en-US" w:bidi="ar-SA"/>
        </w:rPr>
        <w:t xml:space="preserve"> </w:t>
      </w:r>
      <w:r w:rsidRPr="00DB4C5A">
        <w:rPr>
          <w:rFonts w:eastAsia="Times New Roman" w:cs="Times New Roman"/>
          <w:i/>
          <w:kern w:val="0"/>
          <w:lang w:eastAsia="en-US" w:bidi="ar-SA"/>
        </w:rPr>
        <w:t>Political Power and Social Theory</w:t>
      </w:r>
      <w:r w:rsidRPr="00DB4C5A">
        <w:rPr>
          <w:rFonts w:eastAsia="Times New Roman" w:cs="Times New Roman"/>
          <w:kern w:val="0"/>
          <w:lang w:eastAsia="en-US" w:bidi="ar-SA"/>
        </w:rPr>
        <w:t xml:space="preserve"> 17: 179-198</w:t>
      </w:r>
    </w:p>
    <w:p w:rsidR="00226268" w:rsidRDefault="00226268" w:rsidP="00226268">
      <w:pPr>
        <w:widowControl/>
        <w:suppressAutoHyphens w:val="0"/>
        <w:autoSpaceDE w:val="0"/>
        <w:autoSpaceDN w:val="0"/>
        <w:adjustRightInd w:val="0"/>
        <w:rPr>
          <w:rFonts w:eastAsiaTheme="minorHAnsi" w:cs="Times New Roman"/>
          <w:kern w:val="0"/>
          <w:lang w:eastAsia="en-US" w:bidi="ar-SA"/>
        </w:rPr>
      </w:pPr>
    </w:p>
    <w:p w:rsidR="001A0904" w:rsidRPr="001A0904" w:rsidRDefault="00226268" w:rsidP="00226268">
      <w:pPr>
        <w:widowControl/>
        <w:suppressAutoHyphens w:val="0"/>
        <w:autoSpaceDE w:val="0"/>
        <w:autoSpaceDN w:val="0"/>
        <w:adjustRightInd w:val="0"/>
        <w:spacing w:line="480" w:lineRule="auto"/>
        <w:rPr>
          <w:rFonts w:eastAsiaTheme="minorHAnsi" w:cs="Times New Roman"/>
          <w:i/>
          <w:iCs/>
          <w:kern w:val="0"/>
          <w:lang w:eastAsia="en-US" w:bidi="ar-SA"/>
        </w:rPr>
      </w:pPr>
      <w:r w:rsidRPr="001A0904">
        <w:rPr>
          <w:rFonts w:eastAsiaTheme="minorHAnsi" w:cs="Times New Roman"/>
          <w:kern w:val="0"/>
          <w:lang w:eastAsia="en-US" w:bidi="ar-SA"/>
        </w:rPr>
        <w:t>Dum</w:t>
      </w:r>
      <w:r>
        <w:rPr>
          <w:rFonts w:eastAsiaTheme="minorHAnsi" w:cs="Times New Roman"/>
          <w:kern w:val="0"/>
          <w:lang w:eastAsia="en-US" w:bidi="ar-SA"/>
        </w:rPr>
        <w:t>é</w:t>
      </w:r>
      <w:r w:rsidRPr="001A0904">
        <w:rPr>
          <w:rFonts w:eastAsiaTheme="minorHAnsi" w:cs="Times New Roman"/>
          <w:kern w:val="0"/>
          <w:lang w:eastAsia="en-US" w:bidi="ar-SA"/>
        </w:rPr>
        <w:t>nil</w:t>
      </w:r>
      <w:r w:rsidR="001A0904" w:rsidRPr="001A0904">
        <w:rPr>
          <w:rFonts w:eastAsiaTheme="minorHAnsi" w:cs="Times New Roman"/>
          <w:kern w:val="0"/>
          <w:lang w:eastAsia="en-US" w:bidi="ar-SA"/>
        </w:rPr>
        <w:t>, Gerard and Dominique L</w:t>
      </w:r>
      <w:r>
        <w:rPr>
          <w:rFonts w:eastAsiaTheme="minorHAnsi" w:cs="Times New Roman"/>
          <w:kern w:val="0"/>
          <w:lang w:eastAsia="en-US" w:bidi="ar-SA"/>
        </w:rPr>
        <w:t>é</w:t>
      </w:r>
      <w:r w:rsidR="001A0904" w:rsidRPr="001A0904">
        <w:rPr>
          <w:rFonts w:eastAsiaTheme="minorHAnsi" w:cs="Times New Roman"/>
          <w:kern w:val="0"/>
          <w:lang w:eastAsia="en-US" w:bidi="ar-SA"/>
        </w:rPr>
        <w:t xml:space="preserve">vy. 2004. </w:t>
      </w:r>
      <w:r w:rsidR="001A0904" w:rsidRPr="001A0904">
        <w:rPr>
          <w:rFonts w:eastAsiaTheme="minorHAnsi" w:cs="Times New Roman"/>
          <w:i/>
          <w:iCs/>
          <w:kern w:val="0"/>
          <w:lang w:eastAsia="en-US" w:bidi="ar-SA"/>
        </w:rPr>
        <w:t>Capital Resurgent: Roots of the Neoliberal</w:t>
      </w:r>
    </w:p>
    <w:p w:rsidR="001A0904" w:rsidRPr="001A0904" w:rsidRDefault="001A0904" w:rsidP="00226268">
      <w:pPr>
        <w:widowControl/>
        <w:suppressAutoHyphens w:val="0"/>
        <w:autoSpaceDE w:val="0"/>
        <w:autoSpaceDN w:val="0"/>
        <w:adjustRightInd w:val="0"/>
        <w:spacing w:line="480" w:lineRule="auto"/>
        <w:ind w:left="720" w:hanging="630"/>
        <w:rPr>
          <w:rFonts w:eastAsiaTheme="minorHAnsi" w:cs="Times New Roman"/>
          <w:kern w:val="0"/>
          <w:lang w:eastAsia="en-US" w:bidi="ar-SA"/>
        </w:rPr>
      </w:pPr>
      <w:r w:rsidRPr="001A0904">
        <w:rPr>
          <w:rFonts w:eastAsiaTheme="minorHAnsi" w:cs="Times New Roman"/>
          <w:i/>
          <w:iCs/>
          <w:kern w:val="0"/>
          <w:lang w:eastAsia="en-US" w:bidi="ar-SA"/>
        </w:rPr>
        <w:tab/>
        <w:t>Revolution</w:t>
      </w:r>
      <w:r w:rsidRPr="001A0904">
        <w:rPr>
          <w:rFonts w:eastAsiaTheme="minorHAnsi" w:cs="Times New Roman"/>
          <w:kern w:val="0"/>
          <w:lang w:eastAsia="en-US" w:bidi="ar-SA"/>
        </w:rPr>
        <w:t>. Cambridge, MA: Harvard University Press.</w:t>
      </w:r>
    </w:p>
    <w:p w:rsidR="001A0904" w:rsidRPr="001A0904" w:rsidRDefault="001A0904" w:rsidP="00226268">
      <w:pPr>
        <w:widowControl/>
        <w:suppressAutoHyphens w:val="0"/>
        <w:autoSpaceDE w:val="0"/>
        <w:autoSpaceDN w:val="0"/>
        <w:adjustRightInd w:val="0"/>
        <w:ind w:left="720" w:hanging="630"/>
        <w:rPr>
          <w:rFonts w:eastAsiaTheme="minorHAnsi" w:cs="Times New Roman"/>
          <w:kern w:val="0"/>
          <w:lang w:eastAsia="en-US" w:bidi="ar-SA"/>
        </w:rPr>
      </w:pPr>
    </w:p>
    <w:p w:rsidR="001A0904" w:rsidRPr="001A0904" w:rsidRDefault="001A0904" w:rsidP="00226268">
      <w:pPr>
        <w:widowControl/>
        <w:suppressAutoHyphens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 xml:space="preserve">_____. 2011. </w:t>
      </w:r>
      <w:r w:rsidRPr="001A0904">
        <w:rPr>
          <w:rFonts w:eastAsiaTheme="minorHAnsi" w:cs="Times New Roman"/>
          <w:i/>
          <w:iCs/>
          <w:kern w:val="0"/>
          <w:lang w:eastAsia="en-US" w:bidi="ar-SA"/>
        </w:rPr>
        <w:t>The Crisis of Neoliberalism</w:t>
      </w:r>
      <w:r w:rsidRPr="001A0904">
        <w:rPr>
          <w:rFonts w:eastAsiaTheme="minorHAnsi" w:cs="Times New Roman"/>
          <w:kern w:val="0"/>
          <w:lang w:eastAsia="en-US" w:bidi="ar-SA"/>
        </w:rPr>
        <w:t>. Cambridge, MA: Harvard University Press.</w:t>
      </w:r>
    </w:p>
    <w:p w:rsidR="001A0904" w:rsidRPr="001A0904" w:rsidRDefault="001A0904" w:rsidP="00226268">
      <w:pPr>
        <w:widowControl/>
        <w:suppressAutoHyphens w:val="0"/>
        <w:spacing w:line="480" w:lineRule="auto"/>
        <w:ind w:left="720" w:hanging="630"/>
        <w:rPr>
          <w:rFonts w:eastAsiaTheme="minorHAnsi" w:cs="Times New Roman"/>
          <w:kern w:val="0"/>
          <w:lang w:eastAsia="en-US" w:bidi="ar-SA"/>
        </w:rPr>
      </w:pPr>
    </w:p>
    <w:p w:rsidR="00DB4C5A" w:rsidRPr="00DB4C5A" w:rsidRDefault="00DB4C5A" w:rsidP="00226268">
      <w:pPr>
        <w:widowControl/>
        <w:suppressAutoHyphens w:val="0"/>
        <w:spacing w:line="480" w:lineRule="auto"/>
        <w:rPr>
          <w:rFonts w:eastAsia="Times New Roman" w:cs="Times New Roman"/>
          <w:kern w:val="0"/>
          <w:lang w:eastAsia="en-US" w:bidi="ar-SA"/>
        </w:rPr>
      </w:pPr>
      <w:r w:rsidRPr="00DB4C5A">
        <w:rPr>
          <w:rFonts w:eastAsia="Times New Roman" w:cs="Times New Roman"/>
          <w:kern w:val="0"/>
          <w:lang w:eastAsia="en-US" w:bidi="ar-SA"/>
        </w:rPr>
        <w:t xml:space="preserve">Fligstein, Neil. 2005. </w:t>
      </w:r>
      <w:r w:rsidR="0071600A">
        <w:rPr>
          <w:rFonts w:eastAsia="Times New Roman" w:cs="Times New Roman"/>
          <w:kern w:val="0"/>
          <w:lang w:eastAsia="en-US" w:bidi="ar-SA"/>
        </w:rPr>
        <w:t>“</w:t>
      </w:r>
      <w:r w:rsidRPr="00DB4C5A">
        <w:rPr>
          <w:rFonts w:eastAsia="Times New Roman" w:cs="Times New Roman"/>
          <w:kern w:val="0"/>
          <w:lang w:eastAsia="en-US" w:bidi="ar-SA"/>
        </w:rPr>
        <w:t>The End of (Shareholder Value) Ideology?</w:t>
      </w:r>
      <w:r w:rsidR="0071600A">
        <w:rPr>
          <w:rFonts w:eastAsia="Times New Roman" w:cs="Times New Roman"/>
          <w:kern w:val="0"/>
          <w:lang w:eastAsia="en-US" w:bidi="ar-SA"/>
        </w:rPr>
        <w:t>”</w:t>
      </w:r>
      <w:r w:rsidRPr="00DB4C5A">
        <w:rPr>
          <w:rFonts w:eastAsia="Times New Roman" w:cs="Times New Roman"/>
          <w:kern w:val="0"/>
          <w:lang w:eastAsia="en-US" w:bidi="ar-SA"/>
        </w:rPr>
        <w:t xml:space="preserve"> </w:t>
      </w:r>
      <w:r w:rsidRPr="00DB4C5A">
        <w:rPr>
          <w:rFonts w:eastAsia="Times New Roman" w:cs="Times New Roman"/>
          <w:i/>
          <w:kern w:val="0"/>
          <w:lang w:eastAsia="en-US" w:bidi="ar-SA"/>
        </w:rPr>
        <w:t xml:space="preserve">Political Power and Social </w:t>
      </w:r>
      <w:r w:rsidRPr="00DB4C5A">
        <w:rPr>
          <w:rFonts w:eastAsia="Times New Roman" w:cs="Times New Roman"/>
          <w:i/>
          <w:kern w:val="0"/>
          <w:lang w:eastAsia="en-US" w:bidi="ar-SA"/>
        </w:rPr>
        <w:tab/>
        <w:t>Theory</w:t>
      </w:r>
      <w:r w:rsidRPr="00DB4C5A">
        <w:rPr>
          <w:rFonts w:eastAsia="Times New Roman" w:cs="Times New Roman"/>
          <w:kern w:val="0"/>
          <w:lang w:eastAsia="en-US" w:bidi="ar-SA"/>
        </w:rPr>
        <w:t xml:space="preserve"> 17: 223-228.</w:t>
      </w:r>
    </w:p>
    <w:p w:rsidR="00370CED" w:rsidRPr="00701D17" w:rsidRDefault="00370CED" w:rsidP="00701D17">
      <w:pPr>
        <w:rPr>
          <w:b/>
          <w:lang w:eastAsia="en-US" w:bidi="ar-SA"/>
        </w:rPr>
      </w:pPr>
    </w:p>
    <w:p w:rsidR="001D0E40" w:rsidRPr="00F36C4F" w:rsidRDefault="001D0E40" w:rsidP="00226268">
      <w:pPr>
        <w:pStyle w:val="Heading2"/>
        <w:keepNext w:val="0"/>
        <w:keepLines w:val="0"/>
        <w:widowControl/>
        <w:suppressAutoHyphens w:val="0"/>
        <w:spacing w:before="0" w:line="480" w:lineRule="auto"/>
        <w:ind w:left="720" w:hanging="720"/>
        <w:rPr>
          <w:rFonts w:ascii="Times New Roman" w:hAnsi="Times New Roman" w:cs="Times New Roman"/>
          <w:b w:val="0"/>
          <w:i/>
          <w:color w:val="auto"/>
          <w:szCs w:val="24"/>
        </w:rPr>
      </w:pPr>
      <w:r w:rsidRPr="00F36C4F">
        <w:rPr>
          <w:rFonts w:ascii="Times New Roman" w:eastAsiaTheme="minorHAnsi" w:hAnsi="Times New Roman" w:cs="Times New Roman"/>
          <w:b w:val="0"/>
          <w:color w:val="auto"/>
          <w:kern w:val="0"/>
          <w:sz w:val="24"/>
          <w:szCs w:val="24"/>
          <w:lang w:eastAsia="en-US" w:bidi="ar-SA"/>
        </w:rPr>
        <w:t xml:space="preserve">Gowan, Peter, </w:t>
      </w:r>
      <w:r w:rsidR="0071600A">
        <w:rPr>
          <w:rFonts w:ascii="Times New Roman" w:eastAsiaTheme="minorHAnsi" w:hAnsi="Times New Roman" w:cs="Times New Roman"/>
          <w:b w:val="0"/>
          <w:color w:val="auto"/>
          <w:kern w:val="0"/>
          <w:sz w:val="24"/>
          <w:szCs w:val="24"/>
          <w:lang w:eastAsia="en-US" w:bidi="ar-SA"/>
        </w:rPr>
        <w:t>“</w:t>
      </w:r>
      <w:r w:rsidRPr="00F36C4F">
        <w:rPr>
          <w:rFonts w:ascii="Times New Roman" w:hAnsi="Times New Roman" w:cs="Times New Roman"/>
          <w:b w:val="0"/>
          <w:color w:val="auto"/>
          <w:sz w:val="24"/>
          <w:szCs w:val="24"/>
        </w:rPr>
        <w:t>Crisis in the Heartland: Consequences of the New Wall Street System,</w:t>
      </w:r>
      <w:r w:rsidR="0071600A">
        <w:rPr>
          <w:rFonts w:ascii="Times New Roman" w:hAnsi="Times New Roman" w:cs="Times New Roman"/>
          <w:b w:val="0"/>
          <w:color w:val="auto"/>
          <w:sz w:val="24"/>
          <w:szCs w:val="24"/>
        </w:rPr>
        <w:t>”</w:t>
      </w:r>
      <w:r w:rsidRPr="00F36C4F">
        <w:rPr>
          <w:rFonts w:ascii="Times New Roman" w:hAnsi="Times New Roman" w:cs="Times New Roman"/>
          <w:b w:val="0"/>
          <w:color w:val="auto"/>
          <w:sz w:val="24"/>
          <w:szCs w:val="24"/>
        </w:rPr>
        <w:t xml:space="preserve"> </w:t>
      </w:r>
      <w:r w:rsidRPr="00F36C4F">
        <w:rPr>
          <w:rFonts w:ascii="Times New Roman" w:hAnsi="Times New Roman" w:cs="Times New Roman"/>
          <w:b w:val="0"/>
          <w:i/>
          <w:color w:val="auto"/>
          <w:sz w:val="24"/>
          <w:szCs w:val="24"/>
        </w:rPr>
        <w:t xml:space="preserve">New Left Review </w:t>
      </w:r>
      <w:r w:rsidRPr="00F36C4F">
        <w:rPr>
          <w:rFonts w:ascii="Times New Roman" w:hAnsi="Times New Roman" w:cs="Times New Roman"/>
          <w:b w:val="0"/>
          <w:color w:val="auto"/>
          <w:sz w:val="24"/>
          <w:szCs w:val="24"/>
        </w:rPr>
        <w:t>55</w:t>
      </w:r>
      <w:r w:rsidR="00DB4C5A">
        <w:rPr>
          <w:rFonts w:ascii="Times New Roman" w:hAnsi="Times New Roman" w:cs="Times New Roman"/>
          <w:b w:val="0"/>
          <w:color w:val="auto"/>
          <w:sz w:val="24"/>
          <w:szCs w:val="24"/>
        </w:rPr>
        <w:t>:</w:t>
      </w:r>
      <w:r w:rsidRPr="00F36C4F">
        <w:rPr>
          <w:rFonts w:ascii="Times New Roman" w:hAnsi="Times New Roman" w:cs="Times New Roman"/>
          <w:b w:val="0"/>
          <w:color w:val="auto"/>
          <w:sz w:val="24"/>
          <w:szCs w:val="24"/>
        </w:rPr>
        <w:t xml:space="preserve"> 5-29.</w:t>
      </w:r>
      <w:r w:rsidRPr="00F36C4F">
        <w:rPr>
          <w:rFonts w:ascii="Times New Roman" w:hAnsi="Times New Roman" w:cs="Times New Roman"/>
          <w:b w:val="0"/>
          <w:i/>
          <w:color w:val="auto"/>
          <w:sz w:val="24"/>
          <w:szCs w:val="24"/>
        </w:rPr>
        <w:t xml:space="preserve"> </w:t>
      </w:r>
    </w:p>
    <w:p w:rsidR="001D0E40" w:rsidRPr="001D0E40" w:rsidRDefault="001D0E40" w:rsidP="00226268">
      <w:pPr>
        <w:widowControl/>
        <w:suppressAutoHyphens w:val="0"/>
        <w:rPr>
          <w:rFonts w:cs="Times New Roman"/>
        </w:rPr>
      </w:pPr>
    </w:p>
    <w:p w:rsidR="001A0904" w:rsidRPr="001A0904" w:rsidRDefault="001A0904" w:rsidP="00226268">
      <w:pPr>
        <w:widowControl/>
        <w:suppressAutoHyphens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 xml:space="preserve">Husson, Michel. 2008. </w:t>
      </w:r>
      <w:r w:rsidR="0071600A">
        <w:rPr>
          <w:rFonts w:eastAsiaTheme="minorHAnsi" w:cs="Times New Roman"/>
          <w:kern w:val="0"/>
          <w:lang w:eastAsia="en-US" w:bidi="ar-SA"/>
        </w:rPr>
        <w:t>“</w:t>
      </w:r>
      <w:r w:rsidRPr="001A0904">
        <w:rPr>
          <w:rFonts w:eastAsiaTheme="minorHAnsi" w:cs="Times New Roman"/>
          <w:kern w:val="0"/>
          <w:lang w:eastAsia="en-US" w:bidi="ar-SA"/>
        </w:rPr>
        <w:t xml:space="preserve">A </w:t>
      </w:r>
      <w:r w:rsidR="006D5365" w:rsidRPr="001A0904">
        <w:rPr>
          <w:rFonts w:eastAsiaTheme="minorHAnsi" w:cs="Times New Roman"/>
          <w:kern w:val="0"/>
          <w:lang w:eastAsia="en-US" w:bidi="ar-SA"/>
        </w:rPr>
        <w:t>Systemic</w:t>
      </w:r>
      <w:r w:rsidRPr="001A0904">
        <w:rPr>
          <w:rFonts w:eastAsiaTheme="minorHAnsi" w:cs="Times New Roman"/>
          <w:kern w:val="0"/>
          <w:lang w:eastAsia="en-US" w:bidi="ar-SA"/>
        </w:rPr>
        <w:t xml:space="preserve"> Crisis, Both Global </w:t>
      </w:r>
      <w:r w:rsidR="006D5365" w:rsidRPr="001A0904">
        <w:rPr>
          <w:rFonts w:eastAsiaTheme="minorHAnsi" w:cs="Times New Roman"/>
          <w:kern w:val="0"/>
          <w:lang w:eastAsia="en-US" w:bidi="ar-SA"/>
        </w:rPr>
        <w:t>and</w:t>
      </w:r>
      <w:r w:rsidRPr="001A0904">
        <w:rPr>
          <w:rFonts w:eastAsiaTheme="minorHAnsi" w:cs="Times New Roman"/>
          <w:kern w:val="0"/>
          <w:lang w:eastAsia="en-US" w:bidi="ar-SA"/>
        </w:rPr>
        <w:t xml:space="preserve"> </w:t>
      </w:r>
      <w:r w:rsidR="006D5365" w:rsidRPr="001A0904">
        <w:rPr>
          <w:rFonts w:eastAsiaTheme="minorHAnsi" w:cs="Times New Roman"/>
          <w:kern w:val="0"/>
          <w:lang w:eastAsia="en-US" w:bidi="ar-SA"/>
        </w:rPr>
        <w:t>Long lasting</w:t>
      </w:r>
      <w:r w:rsidRPr="001A0904">
        <w:rPr>
          <w:rFonts w:eastAsiaTheme="minorHAnsi" w:cs="Times New Roman"/>
          <w:kern w:val="0"/>
          <w:lang w:eastAsia="en-US" w:bidi="ar-SA"/>
        </w:rPr>
        <w:t>,</w:t>
      </w:r>
      <w:r w:rsidR="0071600A">
        <w:rPr>
          <w:rFonts w:eastAsiaTheme="minorHAnsi" w:cs="Times New Roman"/>
          <w:kern w:val="0"/>
          <w:lang w:eastAsia="en-US" w:bidi="ar-SA"/>
        </w:rPr>
        <w:t>”</w:t>
      </w:r>
      <w:r w:rsidRPr="001A0904">
        <w:rPr>
          <w:rFonts w:eastAsiaTheme="minorHAnsi" w:cs="Times New Roman"/>
          <w:kern w:val="0"/>
          <w:lang w:eastAsia="en-US" w:bidi="ar-SA"/>
        </w:rPr>
        <w:t xml:space="preserve"> Workers Liberty website, July 24. Available at http://www.workersliberty.org/story/2008/07/21/marxists-capitalist-crisis-7-michel-husson-systemic-crisis-both-global-and-long-las .</w:t>
      </w:r>
    </w:p>
    <w:p w:rsidR="001A0904" w:rsidRPr="001A0904" w:rsidRDefault="001A0904" w:rsidP="00226268">
      <w:pPr>
        <w:widowControl/>
        <w:suppressAutoHyphens w:val="0"/>
        <w:ind w:left="720" w:hanging="630"/>
        <w:rPr>
          <w:rFonts w:eastAsiaTheme="minorHAnsi" w:cs="Times New Roman"/>
          <w:kern w:val="0"/>
          <w:lang w:eastAsia="en-US" w:bidi="ar-SA"/>
        </w:rPr>
      </w:pPr>
    </w:p>
    <w:p w:rsidR="001A0904" w:rsidRPr="001A0904" w:rsidRDefault="001A0904" w:rsidP="00226268">
      <w:pPr>
        <w:widowControl/>
        <w:suppressAutoHyphens w:val="0"/>
        <w:autoSpaceDE w:val="0"/>
        <w:autoSpaceDN w:val="0"/>
        <w:adjustRightInd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 xml:space="preserve">_____. </w:t>
      </w:r>
      <w:r w:rsidRPr="001A0904">
        <w:rPr>
          <w:rFonts w:eastAsiaTheme="minorHAnsi" w:cs="Times New Roman"/>
          <w:color w:val="231F20"/>
          <w:kern w:val="0"/>
          <w:lang w:eastAsia="en-US" w:bidi="ar-SA"/>
        </w:rPr>
        <w:t xml:space="preserve">2009. </w:t>
      </w:r>
      <w:r w:rsidR="0071600A">
        <w:rPr>
          <w:rFonts w:eastAsiaTheme="minorHAnsi" w:cs="Times New Roman"/>
          <w:color w:val="231F20"/>
          <w:kern w:val="0"/>
          <w:lang w:eastAsia="en-US" w:bidi="ar-SA"/>
        </w:rPr>
        <w:t>“</w:t>
      </w:r>
      <w:r w:rsidRPr="001A0904">
        <w:rPr>
          <w:rFonts w:eastAsiaTheme="minorHAnsi" w:cs="Times New Roman"/>
          <w:color w:val="231F20"/>
          <w:kern w:val="0"/>
          <w:lang w:eastAsia="en-US" w:bidi="ar-SA"/>
        </w:rPr>
        <w:t>Les Coûts Historiques d</w:t>
      </w:r>
      <w:r w:rsidR="0071600A">
        <w:rPr>
          <w:rFonts w:eastAsiaTheme="minorHAnsi" w:cs="Times New Roman"/>
          <w:color w:val="231F20"/>
          <w:kern w:val="0"/>
          <w:lang w:eastAsia="en-US" w:bidi="ar-SA"/>
        </w:rPr>
        <w:t>’</w:t>
      </w:r>
      <w:r w:rsidRPr="001A0904">
        <w:rPr>
          <w:rFonts w:eastAsiaTheme="minorHAnsi" w:cs="Times New Roman"/>
          <w:color w:val="231F20"/>
          <w:kern w:val="0"/>
          <w:lang w:eastAsia="en-US" w:bidi="ar-SA"/>
        </w:rPr>
        <w:t>Andrew Kliman.</w:t>
      </w:r>
      <w:r w:rsidR="0071600A">
        <w:rPr>
          <w:rFonts w:eastAsiaTheme="minorHAnsi" w:cs="Times New Roman"/>
          <w:color w:val="231F20"/>
          <w:kern w:val="0"/>
          <w:lang w:eastAsia="en-US" w:bidi="ar-SA"/>
        </w:rPr>
        <w:t>”</w:t>
      </w:r>
      <w:r w:rsidRPr="001A0904">
        <w:rPr>
          <w:rFonts w:eastAsiaTheme="minorHAnsi" w:cs="Times New Roman"/>
          <w:color w:val="231F20"/>
          <w:kern w:val="0"/>
          <w:lang w:eastAsia="en-US" w:bidi="ar-SA"/>
        </w:rPr>
        <w:t xml:space="preserve"> Nouveau Parti Anticapitaliste website, Dec. 27. Available at tinyurl.com/3d5bkqg. Also available at hussonet.free.fr/histokli.pdf.</w:t>
      </w:r>
    </w:p>
    <w:p w:rsidR="001A0904" w:rsidRPr="001A0904" w:rsidRDefault="001A0904" w:rsidP="00226268">
      <w:pPr>
        <w:widowControl/>
        <w:suppressAutoHyphens w:val="0"/>
        <w:ind w:left="720" w:hanging="630"/>
        <w:rPr>
          <w:rFonts w:eastAsiaTheme="minorHAnsi" w:cs="Times New Roman"/>
          <w:kern w:val="0"/>
          <w:lang w:eastAsia="en-US" w:bidi="ar-SA"/>
        </w:rPr>
      </w:pPr>
    </w:p>
    <w:p w:rsidR="001A0904" w:rsidRPr="001A0904" w:rsidRDefault="001A0904" w:rsidP="00226268">
      <w:pPr>
        <w:widowControl/>
        <w:suppressAutoHyphens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 xml:space="preserve">Kliman, Andrew. 2011. </w:t>
      </w:r>
      <w:r w:rsidRPr="00F36C4F">
        <w:rPr>
          <w:rFonts w:eastAsiaTheme="minorHAnsi" w:cs="Times New Roman"/>
          <w:i/>
          <w:kern w:val="0"/>
          <w:lang w:eastAsia="en-US" w:bidi="ar-SA"/>
        </w:rPr>
        <w:t>The Failure of Capitalist Production: Underlying Causes of the Great Recession.</w:t>
      </w:r>
      <w:r w:rsidRPr="001A0904">
        <w:rPr>
          <w:rFonts w:eastAsiaTheme="minorHAnsi" w:cs="Times New Roman"/>
          <w:kern w:val="0"/>
          <w:lang w:eastAsia="en-US" w:bidi="ar-SA"/>
        </w:rPr>
        <w:t xml:space="preserve"> London: Pluto Books.</w:t>
      </w:r>
    </w:p>
    <w:p w:rsidR="001A0904" w:rsidRPr="001A0904" w:rsidRDefault="001A0904" w:rsidP="00226268">
      <w:pPr>
        <w:widowControl/>
        <w:suppressAutoHyphens w:val="0"/>
        <w:ind w:left="720" w:hanging="630"/>
        <w:rPr>
          <w:rFonts w:eastAsiaTheme="minorHAnsi" w:cs="Times New Roman"/>
          <w:kern w:val="0"/>
          <w:lang w:eastAsia="en-US" w:bidi="ar-SA"/>
        </w:rPr>
      </w:pPr>
    </w:p>
    <w:p w:rsidR="001A0904" w:rsidRPr="001A0904" w:rsidRDefault="001A0904" w:rsidP="00226268">
      <w:pPr>
        <w:widowControl/>
        <w:suppressAutoHyphens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Krippner, Gre</w:t>
      </w:r>
      <w:r w:rsidR="00C368B7">
        <w:rPr>
          <w:rFonts w:eastAsiaTheme="minorHAnsi" w:cs="Times New Roman"/>
          <w:kern w:val="0"/>
          <w:lang w:eastAsia="en-US" w:bidi="ar-SA"/>
        </w:rPr>
        <w:t>ta</w:t>
      </w:r>
      <w:r w:rsidRPr="001A0904">
        <w:rPr>
          <w:rFonts w:eastAsiaTheme="minorHAnsi" w:cs="Times New Roman"/>
          <w:kern w:val="0"/>
          <w:lang w:eastAsia="en-US" w:bidi="ar-SA"/>
        </w:rPr>
        <w:t xml:space="preserve"> R. 2011. </w:t>
      </w:r>
      <w:r w:rsidRPr="001A0904">
        <w:rPr>
          <w:rFonts w:eastAsiaTheme="minorHAnsi" w:cs="Times New Roman"/>
          <w:i/>
          <w:kern w:val="0"/>
          <w:lang w:eastAsia="en-US" w:bidi="ar-SA"/>
        </w:rPr>
        <w:t xml:space="preserve">Capitalizing on Crisis: The Political Origins of the Rise of Finance. </w:t>
      </w:r>
      <w:r w:rsidRPr="001A0904">
        <w:rPr>
          <w:rFonts w:eastAsiaTheme="minorHAnsi" w:cs="Times New Roman"/>
          <w:i/>
          <w:kern w:val="0"/>
          <w:lang w:eastAsia="en-US" w:bidi="ar-SA"/>
        </w:rPr>
        <w:tab/>
      </w:r>
      <w:r w:rsidRPr="001A0904">
        <w:rPr>
          <w:rFonts w:eastAsiaTheme="minorHAnsi" w:cs="Times New Roman"/>
          <w:kern w:val="0"/>
          <w:lang w:eastAsia="en-US" w:bidi="ar-SA"/>
        </w:rPr>
        <w:t>Cambridge, MA: Harvard University Press.</w:t>
      </w:r>
    </w:p>
    <w:p w:rsidR="001A0904" w:rsidRPr="001A0904" w:rsidRDefault="001A0904" w:rsidP="00226268">
      <w:pPr>
        <w:widowControl/>
        <w:suppressAutoHyphens w:val="0"/>
        <w:ind w:left="720" w:hanging="630"/>
        <w:rPr>
          <w:rFonts w:eastAsiaTheme="minorHAnsi" w:cs="Times New Roman"/>
          <w:kern w:val="0"/>
          <w:lang w:eastAsia="en-US" w:bidi="ar-SA"/>
        </w:rPr>
      </w:pPr>
    </w:p>
    <w:p w:rsidR="001A0904" w:rsidRPr="001A0904" w:rsidRDefault="001A0904" w:rsidP="00226268">
      <w:pPr>
        <w:widowControl/>
        <w:suppressAutoHyphens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 xml:space="preserve">Lazonick, William. Forthcoming. </w:t>
      </w:r>
      <w:r w:rsidR="0071600A">
        <w:rPr>
          <w:rFonts w:eastAsiaTheme="minorHAnsi" w:cs="Times New Roman"/>
          <w:kern w:val="0"/>
          <w:lang w:eastAsia="en-US" w:bidi="ar-SA"/>
        </w:rPr>
        <w:t>“</w:t>
      </w:r>
      <w:r w:rsidRPr="001A0904">
        <w:rPr>
          <w:rFonts w:eastAsiaTheme="minorHAnsi" w:cs="Times New Roman"/>
          <w:kern w:val="0"/>
          <w:lang w:eastAsia="en-US" w:bidi="ar-SA"/>
        </w:rPr>
        <w:t xml:space="preserve">From Innovation to Financialization: How Shareholder Value </w:t>
      </w:r>
      <w:r w:rsidRPr="001A0904">
        <w:rPr>
          <w:rFonts w:eastAsiaTheme="minorHAnsi" w:cs="Times New Roman"/>
          <w:kern w:val="0"/>
          <w:lang w:eastAsia="en-US" w:bidi="ar-SA"/>
        </w:rPr>
        <w:tab/>
        <w:t>Ideology is Destroying the US Economy.</w:t>
      </w:r>
      <w:r w:rsidR="0071600A">
        <w:rPr>
          <w:rFonts w:eastAsiaTheme="minorHAnsi" w:cs="Times New Roman"/>
          <w:kern w:val="0"/>
          <w:lang w:eastAsia="en-US" w:bidi="ar-SA"/>
        </w:rPr>
        <w:t>”</w:t>
      </w:r>
      <w:r w:rsidRPr="001A0904">
        <w:rPr>
          <w:rFonts w:eastAsiaTheme="minorHAnsi" w:cs="Times New Roman"/>
          <w:kern w:val="0"/>
          <w:lang w:eastAsia="en-US" w:bidi="ar-SA"/>
        </w:rPr>
        <w:t xml:space="preserve"> In </w:t>
      </w:r>
      <w:r w:rsidRPr="001A0904">
        <w:rPr>
          <w:rFonts w:eastAsiaTheme="minorHAnsi" w:cs="Times New Roman"/>
          <w:i/>
          <w:iCs/>
          <w:kern w:val="0"/>
          <w:lang w:eastAsia="en-US" w:bidi="ar-SA"/>
        </w:rPr>
        <w:t>The Political Economy of Financial Crises</w:t>
      </w:r>
      <w:r w:rsidRPr="001A0904">
        <w:rPr>
          <w:rFonts w:eastAsiaTheme="minorHAnsi" w:cs="Times New Roman"/>
          <w:kern w:val="0"/>
          <w:lang w:eastAsia="en-US" w:bidi="ar-SA"/>
        </w:rPr>
        <w:t>, eds. Gerald Epstein and Martin H. Wolfson. Oxford: Oxford University Press.</w:t>
      </w:r>
    </w:p>
    <w:p w:rsidR="00DB4C5A" w:rsidRDefault="00DB4C5A" w:rsidP="00226268">
      <w:pPr>
        <w:widowControl/>
        <w:suppressAutoHyphens w:val="0"/>
        <w:autoSpaceDE w:val="0"/>
        <w:autoSpaceDN w:val="0"/>
        <w:adjustRightInd w:val="0"/>
        <w:ind w:left="720" w:hanging="630"/>
        <w:rPr>
          <w:rFonts w:eastAsiaTheme="minorHAnsi" w:cs="Times New Roman"/>
          <w:kern w:val="0"/>
          <w:lang w:eastAsia="en-US" w:bidi="ar-SA"/>
        </w:rPr>
      </w:pPr>
    </w:p>
    <w:p w:rsidR="001A0904" w:rsidRPr="001A0904" w:rsidRDefault="00A91A66" w:rsidP="00226268">
      <w:pPr>
        <w:widowControl/>
        <w:suppressAutoHyphens w:val="0"/>
        <w:autoSpaceDE w:val="0"/>
        <w:autoSpaceDN w:val="0"/>
        <w:adjustRightInd w:val="0"/>
        <w:spacing w:line="480" w:lineRule="auto"/>
        <w:ind w:left="720" w:hanging="630"/>
        <w:rPr>
          <w:rFonts w:eastAsiaTheme="minorHAnsi" w:cs="Times New Roman"/>
          <w:kern w:val="0"/>
          <w:lang w:eastAsia="en-US" w:bidi="ar-SA"/>
        </w:rPr>
      </w:pPr>
      <w:r>
        <w:rPr>
          <w:rFonts w:eastAsiaTheme="minorHAnsi" w:cs="Times New Roman"/>
          <w:kern w:val="0"/>
          <w:lang w:eastAsia="en-US" w:bidi="ar-SA"/>
        </w:rPr>
        <w:t>_____</w:t>
      </w:r>
      <w:r w:rsidR="00F36C4F">
        <w:rPr>
          <w:rFonts w:eastAsiaTheme="minorHAnsi" w:cs="Times New Roman"/>
          <w:kern w:val="0"/>
          <w:lang w:eastAsia="en-US" w:bidi="ar-SA"/>
        </w:rPr>
        <w:t>. 2010.</w:t>
      </w:r>
      <w:r w:rsidRPr="00F36C4F">
        <w:rPr>
          <w:rFonts w:cs="Times New Roman"/>
        </w:rPr>
        <w:t xml:space="preserve"> </w:t>
      </w:r>
      <w:r w:rsidR="0071600A">
        <w:rPr>
          <w:rFonts w:cs="Times New Roman"/>
        </w:rPr>
        <w:t>“</w:t>
      </w:r>
      <w:r w:rsidRPr="00F36C4F">
        <w:rPr>
          <w:rFonts w:cs="Times New Roman"/>
        </w:rPr>
        <w:t>Innovative Business Models and Varieties of Capitalism: Financialization of the U.S. Corporation.</w:t>
      </w:r>
      <w:r w:rsidR="0071600A">
        <w:rPr>
          <w:rFonts w:cs="Times New Roman"/>
        </w:rPr>
        <w:t>”</w:t>
      </w:r>
      <w:r w:rsidRPr="00F36C4F">
        <w:rPr>
          <w:rFonts w:cs="Times New Roman"/>
        </w:rPr>
        <w:t xml:space="preserve">  </w:t>
      </w:r>
      <w:r w:rsidRPr="00F36C4F">
        <w:rPr>
          <w:rFonts w:cs="Times New Roman"/>
          <w:i/>
          <w:iCs/>
        </w:rPr>
        <w:t>Business History Review</w:t>
      </w:r>
      <w:r w:rsidRPr="00F36C4F">
        <w:rPr>
          <w:rFonts w:cs="Times New Roman"/>
        </w:rPr>
        <w:t>, 84</w:t>
      </w:r>
      <w:r w:rsidR="00DB4C5A">
        <w:rPr>
          <w:rFonts w:cs="Times New Roman"/>
        </w:rPr>
        <w:t>:</w:t>
      </w:r>
      <w:r w:rsidRPr="00F36C4F">
        <w:rPr>
          <w:rFonts w:cs="Times New Roman"/>
        </w:rPr>
        <w:t xml:space="preserve"> 675-702</w:t>
      </w:r>
    </w:p>
    <w:p w:rsidR="00A91A66" w:rsidRDefault="00A91A66" w:rsidP="00226268">
      <w:pPr>
        <w:widowControl/>
        <w:suppressAutoHyphens w:val="0"/>
        <w:autoSpaceDE w:val="0"/>
        <w:autoSpaceDN w:val="0"/>
        <w:adjustRightInd w:val="0"/>
        <w:ind w:left="720" w:hanging="630"/>
        <w:rPr>
          <w:rFonts w:eastAsiaTheme="minorHAnsi" w:cs="Times New Roman"/>
          <w:kern w:val="0"/>
          <w:lang w:eastAsia="en-US" w:bidi="ar-SA"/>
        </w:rPr>
      </w:pPr>
    </w:p>
    <w:p w:rsidR="001A0904" w:rsidRPr="001A0904" w:rsidRDefault="001A0904" w:rsidP="00226268">
      <w:pPr>
        <w:widowControl/>
        <w:suppressAutoHyphens w:val="0"/>
        <w:autoSpaceDE w:val="0"/>
        <w:autoSpaceDN w:val="0"/>
        <w:adjustRightInd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Lazonick, William and Mary O</w:t>
      </w:r>
      <w:r w:rsidR="0071600A">
        <w:rPr>
          <w:rFonts w:eastAsiaTheme="minorHAnsi" w:cs="Times New Roman"/>
          <w:kern w:val="0"/>
          <w:lang w:eastAsia="en-US" w:bidi="ar-SA"/>
        </w:rPr>
        <w:t>’</w:t>
      </w:r>
      <w:r w:rsidRPr="001A0904">
        <w:rPr>
          <w:rFonts w:eastAsiaTheme="minorHAnsi" w:cs="Times New Roman"/>
          <w:kern w:val="0"/>
          <w:lang w:eastAsia="en-US" w:bidi="ar-SA"/>
        </w:rPr>
        <w:t xml:space="preserve">Sullivan. 2000. </w:t>
      </w:r>
      <w:r w:rsidR="0071600A">
        <w:rPr>
          <w:rFonts w:eastAsiaTheme="minorHAnsi" w:cs="Times New Roman"/>
          <w:kern w:val="0"/>
          <w:lang w:eastAsia="en-US" w:bidi="ar-SA"/>
        </w:rPr>
        <w:t>“</w:t>
      </w:r>
      <w:r w:rsidRPr="001A0904">
        <w:rPr>
          <w:rFonts w:eastAsiaTheme="minorHAnsi" w:cs="Times New Roman"/>
          <w:kern w:val="0"/>
          <w:lang w:eastAsia="en-US" w:bidi="ar-SA"/>
        </w:rPr>
        <w:t>Maximizing Shareholder Value: A New</w:t>
      </w:r>
    </w:p>
    <w:p w:rsidR="001A0904" w:rsidRPr="001A0904" w:rsidRDefault="001A0904" w:rsidP="00226268">
      <w:pPr>
        <w:widowControl/>
        <w:suppressAutoHyphens w:val="0"/>
        <w:autoSpaceDE w:val="0"/>
        <w:autoSpaceDN w:val="0"/>
        <w:adjustRightInd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ab/>
        <w:t>Ideology for Corporate Governance.</w:t>
      </w:r>
      <w:r w:rsidR="0071600A">
        <w:rPr>
          <w:rFonts w:eastAsiaTheme="minorHAnsi" w:cs="Times New Roman"/>
          <w:kern w:val="0"/>
          <w:lang w:eastAsia="en-US" w:bidi="ar-SA"/>
        </w:rPr>
        <w:t>”</w:t>
      </w:r>
      <w:r w:rsidRPr="001A0904">
        <w:rPr>
          <w:rFonts w:eastAsiaTheme="minorHAnsi" w:cs="Times New Roman"/>
          <w:kern w:val="0"/>
          <w:lang w:eastAsia="en-US" w:bidi="ar-SA"/>
        </w:rPr>
        <w:t xml:space="preserve"> </w:t>
      </w:r>
      <w:r w:rsidRPr="001A0904">
        <w:rPr>
          <w:rFonts w:eastAsiaTheme="minorHAnsi" w:cs="Times New Roman"/>
          <w:i/>
          <w:iCs/>
          <w:kern w:val="0"/>
          <w:lang w:eastAsia="en-US" w:bidi="ar-SA"/>
        </w:rPr>
        <w:t xml:space="preserve">Economy and Society </w:t>
      </w:r>
      <w:r w:rsidRPr="001A0904">
        <w:rPr>
          <w:rFonts w:eastAsiaTheme="minorHAnsi" w:cs="Times New Roman"/>
          <w:kern w:val="0"/>
          <w:lang w:eastAsia="en-US" w:bidi="ar-SA"/>
        </w:rPr>
        <w:t>29(1): 13-35.</w:t>
      </w:r>
    </w:p>
    <w:p w:rsidR="001A0904" w:rsidRPr="001A0904" w:rsidRDefault="001A0904" w:rsidP="00226268">
      <w:pPr>
        <w:widowControl/>
        <w:suppressAutoHyphens w:val="0"/>
        <w:autoSpaceDE w:val="0"/>
        <w:autoSpaceDN w:val="0"/>
        <w:adjustRightInd w:val="0"/>
        <w:ind w:left="720" w:hanging="630"/>
        <w:rPr>
          <w:rFonts w:eastAsiaTheme="minorHAnsi" w:cs="Times New Roman"/>
          <w:kern w:val="0"/>
          <w:lang w:eastAsia="en-US" w:bidi="ar-SA"/>
        </w:rPr>
      </w:pPr>
    </w:p>
    <w:p w:rsidR="00F36C4F" w:rsidRDefault="001A0904" w:rsidP="00226268">
      <w:pPr>
        <w:widowControl/>
        <w:suppressAutoHyphens w:val="0"/>
        <w:autoSpaceDE w:val="0"/>
        <w:autoSpaceDN w:val="0"/>
        <w:adjustRightInd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lastRenderedPageBreak/>
        <w:t xml:space="preserve">Orhangazi, </w:t>
      </w:r>
      <w:r w:rsidR="00226268">
        <w:rPr>
          <w:rFonts w:eastAsiaTheme="minorHAnsi" w:cs="Times New Roman"/>
          <w:kern w:val="0"/>
          <w:lang w:eastAsia="en-US" w:bidi="ar-SA"/>
        </w:rPr>
        <w:t>Ö</w:t>
      </w:r>
      <w:r w:rsidR="00226268" w:rsidRPr="001A0904">
        <w:rPr>
          <w:rFonts w:eastAsiaTheme="minorHAnsi" w:cs="Times New Roman"/>
          <w:kern w:val="0"/>
          <w:lang w:eastAsia="en-US" w:bidi="ar-SA"/>
        </w:rPr>
        <w:t>zg</w:t>
      </w:r>
      <w:r w:rsidR="00226268">
        <w:rPr>
          <w:rFonts w:eastAsiaTheme="minorHAnsi" w:cs="Times New Roman"/>
          <w:kern w:val="0"/>
          <w:lang w:eastAsia="en-US" w:bidi="ar-SA"/>
        </w:rPr>
        <w:t>ü</w:t>
      </w:r>
      <w:r w:rsidR="00226268" w:rsidRPr="001A0904">
        <w:rPr>
          <w:rFonts w:eastAsiaTheme="minorHAnsi" w:cs="Times New Roman"/>
          <w:kern w:val="0"/>
          <w:lang w:eastAsia="en-US" w:bidi="ar-SA"/>
        </w:rPr>
        <w:t>r</w:t>
      </w:r>
      <w:r w:rsidRPr="001A0904">
        <w:rPr>
          <w:rFonts w:eastAsiaTheme="minorHAnsi" w:cs="Times New Roman"/>
          <w:kern w:val="0"/>
          <w:lang w:eastAsia="en-US" w:bidi="ar-SA"/>
        </w:rPr>
        <w:t xml:space="preserve">. </w:t>
      </w:r>
      <w:r w:rsidRPr="001A0904">
        <w:rPr>
          <w:rFonts w:eastAsiaTheme="minorHAnsi" w:cs="Times New Roman"/>
          <w:color w:val="000000"/>
          <w:kern w:val="0"/>
          <w:lang w:eastAsia="en-US" w:bidi="ar-SA"/>
        </w:rPr>
        <w:t xml:space="preserve">2007. </w:t>
      </w:r>
      <w:r w:rsidR="0071600A">
        <w:rPr>
          <w:rFonts w:eastAsiaTheme="minorHAnsi" w:cs="Times New Roman"/>
          <w:color w:val="000000"/>
          <w:kern w:val="0"/>
          <w:lang w:eastAsia="en-US" w:bidi="ar-SA"/>
        </w:rPr>
        <w:t>“</w:t>
      </w:r>
      <w:r w:rsidRPr="001A0904">
        <w:rPr>
          <w:rFonts w:eastAsiaTheme="minorHAnsi" w:cs="Times New Roman"/>
          <w:color w:val="000000"/>
          <w:kern w:val="0"/>
          <w:lang w:eastAsia="en-US" w:bidi="ar-SA"/>
        </w:rPr>
        <w:t>Financialization and Capital Accumulation in the Non-financial Corporate Sector: A Theoretical and Empirical Investigation of the U.S. Economy: 1973-2003.</w:t>
      </w:r>
      <w:r w:rsidR="0071600A">
        <w:rPr>
          <w:rFonts w:eastAsiaTheme="minorHAnsi" w:cs="Times New Roman"/>
          <w:color w:val="000000"/>
          <w:kern w:val="0"/>
          <w:lang w:eastAsia="en-US" w:bidi="ar-SA"/>
        </w:rPr>
        <w:t>”</w:t>
      </w:r>
      <w:r w:rsidRPr="001A0904">
        <w:rPr>
          <w:rFonts w:eastAsiaTheme="minorHAnsi" w:cs="Times New Roman"/>
          <w:color w:val="000000"/>
          <w:kern w:val="0"/>
          <w:lang w:eastAsia="en-US" w:bidi="ar-SA"/>
        </w:rPr>
        <w:t xml:space="preserve"> Political Economy Research Institute Working Paper no, 149, Oct.</w:t>
      </w:r>
    </w:p>
    <w:p w:rsidR="001A0904" w:rsidRPr="001A0904" w:rsidRDefault="001A0904" w:rsidP="00226268">
      <w:pPr>
        <w:widowControl/>
        <w:suppressAutoHyphens w:val="0"/>
        <w:autoSpaceDE w:val="0"/>
        <w:autoSpaceDN w:val="0"/>
        <w:adjustRightInd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 xml:space="preserve">_____. 2008. </w:t>
      </w:r>
      <w:r w:rsidRPr="001A0904">
        <w:rPr>
          <w:rFonts w:eastAsiaTheme="minorHAnsi" w:cs="Times New Roman"/>
          <w:i/>
          <w:iCs/>
          <w:kern w:val="0"/>
          <w:lang w:eastAsia="en-US" w:bidi="ar-SA"/>
        </w:rPr>
        <w:t>Financialization and the US Economy</w:t>
      </w:r>
      <w:r w:rsidRPr="001A0904">
        <w:rPr>
          <w:rFonts w:eastAsiaTheme="minorHAnsi" w:cs="Times New Roman"/>
          <w:kern w:val="0"/>
          <w:lang w:eastAsia="en-US" w:bidi="ar-SA"/>
        </w:rPr>
        <w:t>. Cheltenham, UK: Edward Elgar.</w:t>
      </w:r>
    </w:p>
    <w:p w:rsidR="001A0904" w:rsidRPr="001A0904" w:rsidRDefault="001A0904" w:rsidP="00226268">
      <w:pPr>
        <w:widowControl/>
        <w:suppressAutoHyphens w:val="0"/>
        <w:autoSpaceDE w:val="0"/>
        <w:autoSpaceDN w:val="0"/>
        <w:adjustRightInd w:val="0"/>
        <w:ind w:left="720" w:hanging="630"/>
        <w:rPr>
          <w:rFonts w:eastAsiaTheme="minorHAnsi" w:cs="Times New Roman"/>
          <w:kern w:val="0"/>
          <w:lang w:eastAsia="en-US" w:bidi="ar-SA"/>
        </w:rPr>
      </w:pPr>
    </w:p>
    <w:p w:rsidR="001A0904" w:rsidRPr="001A0904" w:rsidRDefault="001A0904" w:rsidP="00226268">
      <w:pPr>
        <w:widowControl/>
        <w:suppressAutoHyphens w:val="0"/>
        <w:autoSpaceDE w:val="0"/>
        <w:autoSpaceDN w:val="0"/>
        <w:adjustRightInd w:val="0"/>
        <w:spacing w:line="480" w:lineRule="auto"/>
        <w:ind w:left="720" w:hanging="630"/>
        <w:rPr>
          <w:rFonts w:eastAsiaTheme="minorHAnsi" w:cs="Times New Roman"/>
          <w:kern w:val="0"/>
          <w:lang w:eastAsia="en-US" w:bidi="ar-SA"/>
        </w:rPr>
      </w:pPr>
      <w:r w:rsidRPr="001A0904">
        <w:rPr>
          <w:rFonts w:eastAsiaTheme="minorHAnsi" w:cs="Times New Roman"/>
          <w:kern w:val="0"/>
          <w:lang w:eastAsia="en-US" w:bidi="ar-SA"/>
        </w:rPr>
        <w:t xml:space="preserve">Stockhammer, Engelbert. 2004. </w:t>
      </w:r>
      <w:r w:rsidR="0071600A">
        <w:rPr>
          <w:rFonts w:eastAsiaTheme="minorHAnsi" w:cs="Times New Roman"/>
          <w:kern w:val="0"/>
          <w:lang w:eastAsia="en-US" w:bidi="ar-SA"/>
        </w:rPr>
        <w:t>“</w:t>
      </w:r>
      <w:r w:rsidRPr="001A0904">
        <w:rPr>
          <w:rFonts w:eastAsiaTheme="minorHAnsi" w:cs="Times New Roman"/>
          <w:kern w:val="0"/>
          <w:lang w:eastAsia="en-US" w:bidi="ar-SA"/>
        </w:rPr>
        <w:t>Financialization and the Slowdown of Accumulation.</w:t>
      </w:r>
      <w:r w:rsidR="0071600A">
        <w:rPr>
          <w:rFonts w:eastAsiaTheme="minorHAnsi" w:cs="Times New Roman"/>
          <w:kern w:val="0"/>
          <w:lang w:eastAsia="en-US" w:bidi="ar-SA"/>
        </w:rPr>
        <w:t>”</w:t>
      </w:r>
    </w:p>
    <w:p w:rsidR="00F36C4F" w:rsidRDefault="001A0904" w:rsidP="00226268">
      <w:pPr>
        <w:widowControl/>
        <w:suppressAutoHyphens w:val="0"/>
        <w:autoSpaceDE w:val="0"/>
        <w:autoSpaceDN w:val="0"/>
        <w:adjustRightInd w:val="0"/>
        <w:spacing w:line="480" w:lineRule="auto"/>
        <w:ind w:left="720" w:hanging="720"/>
        <w:rPr>
          <w:rFonts w:eastAsiaTheme="minorHAnsi" w:cs="Times New Roman"/>
          <w:kern w:val="0"/>
          <w:lang w:eastAsia="en-US" w:bidi="ar-SA"/>
        </w:rPr>
      </w:pPr>
      <w:r w:rsidRPr="001A0904">
        <w:rPr>
          <w:rFonts w:eastAsiaTheme="minorHAnsi" w:cs="Times New Roman"/>
          <w:i/>
          <w:iCs/>
          <w:kern w:val="0"/>
          <w:lang w:eastAsia="en-US" w:bidi="ar-SA"/>
        </w:rPr>
        <w:tab/>
        <w:t xml:space="preserve">Cambridge Journal of Economics </w:t>
      </w:r>
      <w:r w:rsidRPr="001A0904">
        <w:rPr>
          <w:rFonts w:eastAsiaTheme="minorHAnsi" w:cs="Times New Roman"/>
          <w:kern w:val="0"/>
          <w:lang w:eastAsia="en-US" w:bidi="ar-SA"/>
        </w:rPr>
        <w:t>28: 719-41.</w:t>
      </w:r>
    </w:p>
    <w:p w:rsidR="00226268" w:rsidRDefault="00226268" w:rsidP="00226268">
      <w:pPr>
        <w:widowControl/>
        <w:suppressAutoHyphens w:val="0"/>
        <w:autoSpaceDE w:val="0"/>
        <w:autoSpaceDN w:val="0"/>
        <w:adjustRightInd w:val="0"/>
        <w:ind w:left="720" w:hanging="720"/>
        <w:rPr>
          <w:rFonts w:eastAsiaTheme="minorHAnsi" w:cs="Times New Roman"/>
          <w:kern w:val="0"/>
          <w:lang w:eastAsia="en-US" w:bidi="ar-SA"/>
        </w:rPr>
      </w:pPr>
    </w:p>
    <w:p w:rsidR="001A0904" w:rsidRDefault="001A0904" w:rsidP="00226268">
      <w:pPr>
        <w:widowControl/>
        <w:suppressAutoHyphens w:val="0"/>
        <w:autoSpaceDE w:val="0"/>
        <w:autoSpaceDN w:val="0"/>
        <w:adjustRightInd w:val="0"/>
        <w:spacing w:line="480" w:lineRule="auto"/>
        <w:ind w:left="720" w:hanging="720"/>
        <w:rPr>
          <w:rFonts w:eastAsiaTheme="minorHAnsi" w:cs="Times New Roman"/>
          <w:color w:val="231F20"/>
          <w:kern w:val="0"/>
          <w:lang w:eastAsia="en-US" w:bidi="ar-SA"/>
        </w:rPr>
      </w:pPr>
      <w:r w:rsidRPr="001A0904">
        <w:rPr>
          <w:rFonts w:eastAsiaTheme="minorHAnsi" w:cs="Times New Roman"/>
          <w:kern w:val="0"/>
          <w:lang w:eastAsia="en-US" w:bidi="ar-SA"/>
        </w:rPr>
        <w:t xml:space="preserve">_____. </w:t>
      </w:r>
      <w:r w:rsidRPr="001A0904">
        <w:rPr>
          <w:rFonts w:eastAsiaTheme="minorHAnsi" w:cs="Times New Roman"/>
          <w:color w:val="231F20"/>
          <w:kern w:val="0"/>
          <w:lang w:eastAsia="en-US" w:bidi="ar-SA"/>
        </w:rPr>
        <w:t xml:space="preserve">2009. </w:t>
      </w:r>
      <w:r w:rsidR="0071600A">
        <w:rPr>
          <w:rFonts w:eastAsiaTheme="minorHAnsi" w:cs="Times New Roman"/>
          <w:color w:val="231F20"/>
          <w:kern w:val="0"/>
          <w:lang w:eastAsia="en-US" w:bidi="ar-SA"/>
        </w:rPr>
        <w:t>“</w:t>
      </w:r>
      <w:r w:rsidRPr="001A0904">
        <w:rPr>
          <w:rFonts w:eastAsiaTheme="minorHAnsi" w:cs="Times New Roman"/>
          <w:color w:val="231F20"/>
          <w:kern w:val="0"/>
          <w:lang w:eastAsia="en-US" w:bidi="ar-SA"/>
        </w:rPr>
        <w:t>The Finance-dominated Accumulation Regime, Income Distribution and the Present Crisis,</w:t>
      </w:r>
      <w:r w:rsidR="0071600A">
        <w:rPr>
          <w:rFonts w:eastAsiaTheme="minorHAnsi" w:cs="Times New Roman"/>
          <w:color w:val="231F20"/>
          <w:kern w:val="0"/>
          <w:lang w:eastAsia="en-US" w:bidi="ar-SA"/>
        </w:rPr>
        <w:t>”</w:t>
      </w:r>
      <w:r w:rsidRPr="001A0904">
        <w:rPr>
          <w:rFonts w:eastAsiaTheme="minorHAnsi" w:cs="Times New Roman"/>
          <w:color w:val="231F20"/>
          <w:kern w:val="0"/>
          <w:lang w:eastAsia="en-US" w:bidi="ar-SA"/>
        </w:rPr>
        <w:t xml:space="preserve"> Apr. Department of Economics Working Paper No. 127, Vienna University of Economics &amp; Business Administration.</w:t>
      </w:r>
    </w:p>
    <w:p w:rsidR="00226268" w:rsidRDefault="00226268" w:rsidP="00226268">
      <w:pPr>
        <w:widowControl/>
        <w:suppressAutoHyphens w:val="0"/>
        <w:autoSpaceDE w:val="0"/>
        <w:autoSpaceDN w:val="0"/>
        <w:adjustRightInd w:val="0"/>
        <w:ind w:left="720" w:hanging="720"/>
        <w:rPr>
          <w:rFonts w:eastAsiaTheme="minorHAnsi" w:cs="Times New Roman"/>
          <w:color w:val="231F20"/>
          <w:kern w:val="0"/>
          <w:lang w:eastAsia="en-US" w:bidi="ar-SA"/>
        </w:rPr>
      </w:pPr>
    </w:p>
    <w:p w:rsidR="00E17EE3" w:rsidRPr="001A0904" w:rsidRDefault="00C368B7" w:rsidP="00226268">
      <w:pPr>
        <w:widowControl/>
        <w:suppressAutoHyphens w:val="0"/>
        <w:autoSpaceDE w:val="0"/>
        <w:autoSpaceDN w:val="0"/>
        <w:adjustRightInd w:val="0"/>
        <w:spacing w:line="480" w:lineRule="auto"/>
        <w:ind w:left="720" w:hanging="720"/>
        <w:rPr>
          <w:rFonts w:eastAsiaTheme="minorHAnsi" w:cs="Times New Roman"/>
          <w:kern w:val="0"/>
          <w:lang w:eastAsia="en-US" w:bidi="ar-SA"/>
        </w:rPr>
      </w:pPr>
      <w:r>
        <w:rPr>
          <w:rFonts w:eastAsiaTheme="minorHAnsi" w:cs="Times New Roman"/>
          <w:color w:val="231F20"/>
          <w:kern w:val="0"/>
          <w:lang w:eastAsia="en-US" w:bidi="ar-SA"/>
        </w:rPr>
        <w:t xml:space="preserve">Tobin, James. 1997. </w:t>
      </w:r>
      <w:r w:rsidR="0071600A">
        <w:rPr>
          <w:rFonts w:eastAsiaTheme="minorHAnsi" w:cs="Times New Roman"/>
          <w:color w:val="231F20"/>
          <w:kern w:val="0"/>
          <w:lang w:eastAsia="en-US" w:bidi="ar-SA"/>
        </w:rPr>
        <w:t>“</w:t>
      </w:r>
      <w:r>
        <w:rPr>
          <w:rFonts w:eastAsiaTheme="minorHAnsi" w:cs="Times New Roman"/>
          <w:color w:val="231F20"/>
          <w:kern w:val="0"/>
          <w:lang w:eastAsia="en-US" w:bidi="ar-SA"/>
        </w:rPr>
        <w:t>Comment by James Tobin.</w:t>
      </w:r>
      <w:r w:rsidR="0071600A">
        <w:rPr>
          <w:rFonts w:eastAsiaTheme="minorHAnsi" w:cs="Times New Roman"/>
          <w:color w:val="231F20"/>
          <w:kern w:val="0"/>
          <w:lang w:eastAsia="en-US" w:bidi="ar-SA"/>
        </w:rPr>
        <w:t>”</w:t>
      </w:r>
      <w:r>
        <w:rPr>
          <w:rFonts w:eastAsiaTheme="minorHAnsi" w:cs="Times New Roman"/>
          <w:color w:val="231F20"/>
          <w:kern w:val="0"/>
          <w:lang w:eastAsia="en-US" w:bidi="ar-SA"/>
        </w:rPr>
        <w:t xml:space="preserve"> In </w:t>
      </w:r>
      <w:r w:rsidRPr="00F36C4F">
        <w:rPr>
          <w:rFonts w:eastAsiaTheme="minorHAnsi" w:cs="Times New Roman"/>
          <w:i/>
          <w:color w:val="231F20"/>
          <w:kern w:val="0"/>
          <w:lang w:eastAsia="en-US" w:bidi="ar-SA"/>
        </w:rPr>
        <w:t>Macroeconomics of Saving, Finance and Investment</w:t>
      </w:r>
      <w:r>
        <w:rPr>
          <w:rFonts w:eastAsiaTheme="minorHAnsi" w:cs="Times New Roman"/>
          <w:color w:val="231F20"/>
          <w:kern w:val="0"/>
          <w:lang w:eastAsia="en-US" w:bidi="ar-SA"/>
        </w:rPr>
        <w:t xml:space="preserve">, ed. Robert Pollin, pp. 299–304. Ann Arbor: Univ. of Michigan Press. </w:t>
      </w:r>
    </w:p>
    <w:p w:rsidR="001A0904" w:rsidRDefault="001A0904" w:rsidP="00F36C4F">
      <w:pPr>
        <w:widowControl/>
        <w:suppressAutoHyphens w:val="0"/>
        <w:autoSpaceDE w:val="0"/>
        <w:autoSpaceDN w:val="0"/>
        <w:adjustRightInd w:val="0"/>
        <w:spacing w:line="480" w:lineRule="auto"/>
      </w:pPr>
    </w:p>
    <w:p w:rsidR="004A6F82" w:rsidRDefault="004A6F82" w:rsidP="00701D17">
      <w:pPr>
        <w:widowControl/>
        <w:suppressAutoHyphens w:val="0"/>
        <w:autoSpaceDE w:val="0"/>
        <w:autoSpaceDN w:val="0"/>
        <w:adjustRightInd w:val="0"/>
      </w:pPr>
    </w:p>
    <w:p w:rsidR="00E17EE3" w:rsidRDefault="00E17EE3" w:rsidP="00C303D1">
      <w:pPr>
        <w:widowControl/>
        <w:suppressAutoHyphens w:val="0"/>
        <w:spacing w:line="480" w:lineRule="auto"/>
        <w:jc w:val="center"/>
        <w:rPr>
          <w:b/>
          <w:color w:val="000000"/>
        </w:rPr>
      </w:pPr>
      <w:r>
        <w:rPr>
          <w:b/>
          <w:color w:val="000000"/>
        </w:rPr>
        <w:t>Appendix: Data and Computations</w:t>
      </w:r>
    </w:p>
    <w:p w:rsidR="00370CED" w:rsidRDefault="00370CED" w:rsidP="00701D17">
      <w:pPr>
        <w:widowControl/>
        <w:suppressAutoHyphens w:val="0"/>
        <w:jc w:val="both"/>
        <w:rPr>
          <w:color w:val="000000"/>
        </w:rPr>
      </w:pPr>
    </w:p>
    <w:p w:rsidR="00E17EE3" w:rsidRPr="00532DB7" w:rsidRDefault="00E17EE3" w:rsidP="00C303D1">
      <w:pPr>
        <w:widowControl/>
        <w:suppressAutoHyphens w:val="0"/>
        <w:spacing w:line="480" w:lineRule="auto"/>
        <w:jc w:val="both"/>
        <w:rPr>
          <w:color w:val="000000"/>
        </w:rPr>
      </w:pPr>
      <w:r w:rsidRPr="00532DB7">
        <w:rPr>
          <w:color w:val="000000"/>
        </w:rPr>
        <w:t xml:space="preserve">Unless explicitly indicated otherwise, all profit, net investment, and fixed asset data used in this paper are based on depreciation figures valued at historical cost. </w:t>
      </w:r>
    </w:p>
    <w:p w:rsidR="00E17EE3" w:rsidRDefault="00E17EE3" w:rsidP="00701D17">
      <w:pPr>
        <w:widowControl/>
        <w:suppressAutoHyphens w:val="0"/>
        <w:jc w:val="both"/>
        <w:rPr>
          <w:color w:val="000000"/>
        </w:rPr>
      </w:pPr>
    </w:p>
    <w:p w:rsidR="00E17EE3" w:rsidRDefault="00E17EE3" w:rsidP="00C303D1">
      <w:pPr>
        <w:widowControl/>
        <w:suppressAutoHyphens w:val="0"/>
        <w:jc w:val="both"/>
        <w:rPr>
          <w:b/>
          <w:color w:val="000000"/>
        </w:rPr>
      </w:pPr>
      <w:r w:rsidRPr="00532DB7">
        <w:rPr>
          <w:b/>
          <w:color w:val="000000"/>
        </w:rPr>
        <w:t>Abbreviations</w:t>
      </w:r>
    </w:p>
    <w:p w:rsidR="004A6F82" w:rsidRDefault="004A6F82" w:rsidP="00C303D1">
      <w:pPr>
        <w:widowControl/>
        <w:suppressAutoHyphens w:val="0"/>
        <w:jc w:val="both"/>
        <w:rPr>
          <w:b/>
          <w:color w:val="000000"/>
        </w:rPr>
      </w:pPr>
    </w:p>
    <w:p w:rsidR="00E17EE3" w:rsidRDefault="00E17EE3" w:rsidP="00C303D1">
      <w:pPr>
        <w:widowControl/>
        <w:suppressAutoHyphens w:val="0"/>
        <w:ind w:left="1530" w:hanging="810"/>
        <w:jc w:val="both"/>
        <w:rPr>
          <w:color w:val="000000"/>
        </w:rPr>
      </w:pPr>
      <w:r w:rsidRPr="00532DB7">
        <w:rPr>
          <w:color w:val="000000"/>
        </w:rPr>
        <w:t xml:space="preserve">NIPA </w:t>
      </w:r>
      <w:r>
        <w:rPr>
          <w:color w:val="000000"/>
        </w:rPr>
        <w:tab/>
      </w:r>
      <w:r w:rsidRPr="00532DB7">
        <w:rPr>
          <w:color w:val="000000"/>
        </w:rPr>
        <w:t xml:space="preserve">National Income and Product Accounts, published by the U.S. Bureau of </w:t>
      </w:r>
    </w:p>
    <w:p w:rsidR="00E17EE3" w:rsidRPr="00532DB7" w:rsidRDefault="00E17EE3" w:rsidP="00C303D1">
      <w:pPr>
        <w:widowControl/>
        <w:suppressAutoHyphens w:val="0"/>
        <w:ind w:left="1530" w:hanging="810"/>
        <w:jc w:val="both"/>
        <w:rPr>
          <w:color w:val="000000"/>
        </w:rPr>
      </w:pPr>
      <w:r>
        <w:rPr>
          <w:color w:val="000000"/>
        </w:rPr>
        <w:t xml:space="preserve">                   </w:t>
      </w:r>
      <w:r w:rsidRPr="00532DB7">
        <w:rPr>
          <w:color w:val="000000"/>
        </w:rPr>
        <w:t>Economic Analysis</w:t>
      </w:r>
    </w:p>
    <w:p w:rsidR="00D813D6" w:rsidRDefault="00D813D6" w:rsidP="00C303D1">
      <w:pPr>
        <w:widowControl/>
        <w:suppressAutoHyphens w:val="0"/>
        <w:ind w:left="1530" w:hanging="810"/>
        <w:jc w:val="both"/>
        <w:rPr>
          <w:color w:val="000000"/>
        </w:rPr>
      </w:pPr>
    </w:p>
    <w:p w:rsidR="00E17EE3" w:rsidRPr="00532DB7" w:rsidRDefault="00E17EE3" w:rsidP="00C303D1">
      <w:pPr>
        <w:widowControl/>
        <w:suppressAutoHyphens w:val="0"/>
        <w:ind w:left="1530" w:hanging="810"/>
        <w:jc w:val="both"/>
        <w:rPr>
          <w:color w:val="000000"/>
        </w:rPr>
      </w:pPr>
      <w:r w:rsidRPr="00532DB7">
        <w:rPr>
          <w:color w:val="000000"/>
        </w:rPr>
        <w:t xml:space="preserve">FAA </w:t>
      </w:r>
      <w:r>
        <w:rPr>
          <w:color w:val="000000"/>
        </w:rPr>
        <w:tab/>
      </w:r>
      <w:r w:rsidRPr="00532DB7">
        <w:rPr>
          <w:color w:val="000000"/>
        </w:rPr>
        <w:t>Fixed Asset Accounts, published by the U.S. Bureau of Economic Analysis</w:t>
      </w:r>
    </w:p>
    <w:p w:rsidR="00D813D6" w:rsidRDefault="00D813D6" w:rsidP="00C303D1">
      <w:pPr>
        <w:widowControl/>
        <w:suppressAutoHyphens w:val="0"/>
        <w:ind w:left="1530" w:hanging="810"/>
        <w:jc w:val="both"/>
        <w:rPr>
          <w:color w:val="000000"/>
        </w:rPr>
      </w:pPr>
    </w:p>
    <w:p w:rsidR="00E17EE3" w:rsidRDefault="00E17EE3" w:rsidP="00C303D1">
      <w:pPr>
        <w:widowControl/>
        <w:suppressAutoHyphens w:val="0"/>
        <w:ind w:left="1530" w:hanging="810"/>
        <w:jc w:val="both"/>
        <w:rPr>
          <w:iCs/>
        </w:rPr>
      </w:pPr>
      <w:r w:rsidRPr="00532DB7">
        <w:rPr>
          <w:color w:val="000000"/>
        </w:rPr>
        <w:t xml:space="preserve">FoFA </w:t>
      </w:r>
      <w:r>
        <w:rPr>
          <w:color w:val="000000"/>
        </w:rPr>
        <w:tab/>
      </w:r>
      <w:r w:rsidRPr="00532DB7">
        <w:rPr>
          <w:i/>
          <w:color w:val="000000"/>
        </w:rPr>
        <w:t>Flow of Funds Accounts of the United States</w:t>
      </w:r>
      <w:r w:rsidRPr="00532DB7">
        <w:rPr>
          <w:color w:val="000000"/>
        </w:rPr>
        <w:t xml:space="preserve">, published by the </w:t>
      </w:r>
      <w:r w:rsidRPr="00532DB7">
        <w:rPr>
          <w:iCs/>
        </w:rPr>
        <w:t xml:space="preserve">Board of </w:t>
      </w:r>
      <w:r>
        <w:rPr>
          <w:iCs/>
        </w:rPr>
        <w:t xml:space="preserve">   </w:t>
      </w:r>
    </w:p>
    <w:p w:rsidR="00E17EE3" w:rsidRPr="00532DB7" w:rsidRDefault="00E17EE3" w:rsidP="00C303D1">
      <w:pPr>
        <w:widowControl/>
        <w:suppressAutoHyphens w:val="0"/>
        <w:ind w:left="1530" w:hanging="810"/>
        <w:jc w:val="both"/>
        <w:rPr>
          <w:color w:val="000000"/>
        </w:rPr>
      </w:pPr>
      <w:r>
        <w:rPr>
          <w:iCs/>
        </w:rPr>
        <w:t xml:space="preserve">                   </w:t>
      </w:r>
      <w:r w:rsidRPr="00532DB7">
        <w:rPr>
          <w:iCs/>
        </w:rPr>
        <w:t>Governors of the Federal Reserve System</w:t>
      </w:r>
      <w:r w:rsidRPr="00532DB7">
        <w:rPr>
          <w:color w:val="000000"/>
        </w:rPr>
        <w:t xml:space="preserve"> </w:t>
      </w:r>
    </w:p>
    <w:p w:rsidR="00E17EE3" w:rsidRDefault="00E17EE3" w:rsidP="00701D17">
      <w:pPr>
        <w:widowControl/>
        <w:suppressAutoHyphens w:val="0"/>
        <w:jc w:val="both"/>
        <w:rPr>
          <w:color w:val="000000"/>
        </w:rPr>
      </w:pPr>
    </w:p>
    <w:p w:rsidR="00E17EE3" w:rsidRDefault="00E17EE3" w:rsidP="00C303D1">
      <w:pPr>
        <w:widowControl/>
        <w:suppressAutoHyphens w:val="0"/>
        <w:spacing w:line="480" w:lineRule="auto"/>
        <w:jc w:val="both"/>
        <w:rPr>
          <w:b/>
          <w:color w:val="000000"/>
        </w:rPr>
      </w:pPr>
      <w:r w:rsidRPr="00532DB7">
        <w:rPr>
          <w:b/>
          <w:color w:val="000000"/>
        </w:rPr>
        <w:lastRenderedPageBreak/>
        <w:t>Definitions</w:t>
      </w:r>
    </w:p>
    <w:p w:rsidR="00E17EE3" w:rsidRPr="00532DB7" w:rsidRDefault="00E17EE3" w:rsidP="00C303D1">
      <w:pPr>
        <w:widowControl/>
        <w:suppressAutoHyphens w:val="0"/>
        <w:ind w:left="1440" w:hanging="720"/>
        <w:jc w:val="both"/>
        <w:rPr>
          <w:rFonts w:cs="Times New Roman"/>
          <w:color w:val="000000"/>
        </w:rPr>
      </w:pPr>
      <w:r w:rsidRPr="00532DB7">
        <w:rPr>
          <w:rFonts w:cs="Times New Roman"/>
          <w:color w:val="000000"/>
        </w:rPr>
        <w:t>After-tax profit = before-tax profit – taxes on corporate income</w:t>
      </w:r>
    </w:p>
    <w:p w:rsidR="00D813D6" w:rsidRDefault="00D813D6" w:rsidP="00C303D1">
      <w:pPr>
        <w:widowControl/>
        <w:suppressAutoHyphens w:val="0"/>
        <w:ind w:left="1440" w:hanging="720"/>
        <w:jc w:val="both"/>
        <w:rPr>
          <w:rFonts w:cs="Times New Roman"/>
          <w:color w:val="000000"/>
        </w:rPr>
      </w:pPr>
    </w:p>
    <w:p w:rsidR="00E17EE3" w:rsidRPr="00532DB7" w:rsidRDefault="00E17EE3" w:rsidP="00C303D1">
      <w:pPr>
        <w:widowControl/>
        <w:suppressAutoHyphens w:val="0"/>
        <w:ind w:left="1440" w:hanging="720"/>
        <w:jc w:val="both"/>
        <w:rPr>
          <w:rFonts w:cs="Times New Roman"/>
          <w:color w:val="000000"/>
        </w:rPr>
      </w:pPr>
      <w:r w:rsidRPr="00532DB7">
        <w:rPr>
          <w:rFonts w:cs="Times New Roman"/>
          <w:color w:val="000000"/>
        </w:rPr>
        <w:t xml:space="preserve">Before-tax profit = net operating surplus – </w:t>
      </w:r>
      <w:r w:rsidR="0071600A">
        <w:rPr>
          <w:rFonts w:cs="Times New Roman"/>
          <w:color w:val="000000"/>
        </w:rPr>
        <w:t>“</w:t>
      </w:r>
      <w:r w:rsidRPr="00532DB7">
        <w:rPr>
          <w:rFonts w:cs="Times New Roman"/>
          <w:color w:val="000000"/>
        </w:rPr>
        <w:t>n</w:t>
      </w:r>
      <w:r w:rsidRPr="00532DB7">
        <w:rPr>
          <w:rFonts w:cs="Times New Roman"/>
        </w:rPr>
        <w:t>et interest and miscellaneous payments</w:t>
      </w:r>
      <w:r w:rsidR="0071600A">
        <w:rPr>
          <w:rFonts w:cs="Times New Roman"/>
        </w:rPr>
        <w:t>”</w:t>
      </w:r>
      <w:r w:rsidRPr="00532DB7">
        <w:rPr>
          <w:rFonts w:cs="Times New Roman"/>
        </w:rPr>
        <w:t xml:space="preserve"> – </w:t>
      </w:r>
      <w:r w:rsidR="0071600A">
        <w:rPr>
          <w:rFonts w:cs="Times New Roman"/>
        </w:rPr>
        <w:t>“</w:t>
      </w:r>
      <w:r w:rsidRPr="00532DB7">
        <w:rPr>
          <w:rFonts w:cs="Times New Roman"/>
        </w:rPr>
        <w:t>business current transfer payments (net)</w:t>
      </w:r>
      <w:r w:rsidR="0071600A">
        <w:rPr>
          <w:rFonts w:cs="Times New Roman"/>
        </w:rPr>
        <w:t>”</w:t>
      </w:r>
    </w:p>
    <w:p w:rsidR="00D813D6" w:rsidRDefault="00D813D6" w:rsidP="00C303D1">
      <w:pPr>
        <w:widowControl/>
        <w:suppressAutoHyphens w:val="0"/>
        <w:ind w:left="1440" w:hanging="720"/>
        <w:jc w:val="both"/>
        <w:rPr>
          <w:rFonts w:cs="Times New Roman"/>
          <w:color w:val="000000"/>
        </w:rPr>
      </w:pPr>
    </w:p>
    <w:p w:rsidR="00E17EE3" w:rsidRPr="00532DB7" w:rsidRDefault="00E17EE3" w:rsidP="00C303D1">
      <w:pPr>
        <w:widowControl/>
        <w:suppressAutoHyphens w:val="0"/>
        <w:ind w:left="1440" w:hanging="720"/>
        <w:jc w:val="both"/>
        <w:rPr>
          <w:rFonts w:cs="Times New Roman"/>
          <w:color w:val="000000"/>
        </w:rPr>
      </w:pPr>
      <w:r w:rsidRPr="00532DB7">
        <w:rPr>
          <w:rFonts w:cs="Times New Roman"/>
          <w:color w:val="000000"/>
        </w:rPr>
        <w:t>Depreciation valued at historical cost = gross investment in fixed assets – net investment in fixed assets, valued at historical cost</w:t>
      </w:r>
    </w:p>
    <w:p w:rsidR="00D813D6" w:rsidRDefault="00D813D6" w:rsidP="00C303D1">
      <w:pPr>
        <w:widowControl/>
        <w:suppressAutoHyphens w:val="0"/>
        <w:ind w:left="1440" w:hanging="720"/>
        <w:jc w:val="both"/>
        <w:rPr>
          <w:rFonts w:cs="Times New Roman"/>
          <w:color w:val="000000"/>
        </w:rPr>
      </w:pPr>
    </w:p>
    <w:p w:rsidR="00E17EE3" w:rsidRDefault="00E17EE3" w:rsidP="00C303D1">
      <w:pPr>
        <w:widowControl/>
        <w:suppressAutoHyphens w:val="0"/>
        <w:ind w:left="1440" w:hanging="720"/>
        <w:jc w:val="both"/>
        <w:rPr>
          <w:color w:val="000000"/>
        </w:rPr>
      </w:pPr>
      <w:r w:rsidRPr="00532DB7">
        <w:rPr>
          <w:rFonts w:cs="Times New Roman"/>
          <w:color w:val="000000"/>
        </w:rPr>
        <w:t xml:space="preserve">Net investment in fixed assets, valued at </w:t>
      </w:r>
      <w:r>
        <w:rPr>
          <w:color w:val="000000"/>
        </w:rPr>
        <w:t xml:space="preserve">current </w:t>
      </w:r>
      <w:r w:rsidRPr="00532DB7">
        <w:rPr>
          <w:rFonts w:cs="Times New Roman"/>
          <w:color w:val="000000"/>
        </w:rPr>
        <w:t xml:space="preserve">cost = gross investment in fixed assets </w:t>
      </w:r>
      <w:r>
        <w:rPr>
          <w:color w:val="000000"/>
        </w:rPr>
        <w:t>– depreciation of fixed assets (capital consumption), at current cost</w:t>
      </w:r>
    </w:p>
    <w:p w:rsidR="00D813D6" w:rsidRDefault="00D813D6" w:rsidP="00C303D1">
      <w:pPr>
        <w:widowControl/>
        <w:suppressAutoHyphens w:val="0"/>
        <w:ind w:left="1440" w:hanging="720"/>
        <w:jc w:val="both"/>
        <w:rPr>
          <w:rFonts w:cs="Times New Roman"/>
          <w:color w:val="000000"/>
        </w:rPr>
      </w:pPr>
    </w:p>
    <w:p w:rsidR="00E17EE3" w:rsidRDefault="00E17EE3" w:rsidP="00C303D1">
      <w:pPr>
        <w:widowControl/>
        <w:suppressAutoHyphens w:val="0"/>
        <w:ind w:left="1440" w:hanging="720"/>
        <w:jc w:val="both"/>
        <w:rPr>
          <w:color w:val="000000"/>
        </w:rPr>
      </w:pPr>
      <w:r w:rsidRPr="00532DB7">
        <w:rPr>
          <w:rFonts w:cs="Times New Roman"/>
          <w:color w:val="000000"/>
        </w:rPr>
        <w:t>Net investment in fixed assets, valued at historical cost = change in the net stock of fixed assets, valued at historical cost, between the start and end of the year</w:t>
      </w:r>
    </w:p>
    <w:p w:rsidR="00D813D6" w:rsidRDefault="00D813D6" w:rsidP="00C303D1">
      <w:pPr>
        <w:widowControl/>
        <w:suppressAutoHyphens w:val="0"/>
        <w:ind w:left="1440" w:hanging="720"/>
        <w:jc w:val="both"/>
        <w:rPr>
          <w:rFonts w:cs="Times New Roman"/>
          <w:color w:val="000000"/>
        </w:rPr>
      </w:pPr>
    </w:p>
    <w:p w:rsidR="00E17EE3" w:rsidRPr="00532DB7" w:rsidRDefault="00E17EE3" w:rsidP="00C303D1">
      <w:pPr>
        <w:widowControl/>
        <w:suppressAutoHyphens w:val="0"/>
        <w:ind w:left="1440" w:hanging="720"/>
        <w:jc w:val="both"/>
        <w:rPr>
          <w:rFonts w:cs="Times New Roman"/>
          <w:color w:val="000000"/>
        </w:rPr>
      </w:pPr>
      <w:r w:rsidRPr="00532DB7">
        <w:rPr>
          <w:rFonts w:cs="Times New Roman"/>
          <w:color w:val="000000"/>
        </w:rPr>
        <w:t xml:space="preserve">Net operating surplus = property income – </w:t>
      </w:r>
      <w:r w:rsidR="0071600A">
        <w:rPr>
          <w:rFonts w:cs="Times New Roman"/>
        </w:rPr>
        <w:t>“</w:t>
      </w:r>
      <w:r w:rsidRPr="00532DB7">
        <w:rPr>
          <w:rFonts w:cs="Times New Roman"/>
        </w:rPr>
        <w:t>taxes on production and imports less subsidies</w:t>
      </w:r>
      <w:r w:rsidR="0071600A">
        <w:rPr>
          <w:rFonts w:cs="Times New Roman"/>
        </w:rPr>
        <w:t>”</w:t>
      </w:r>
      <w:r w:rsidRPr="00532DB7" w:rsidDel="004467A0">
        <w:rPr>
          <w:rFonts w:cs="Times New Roman"/>
          <w:color w:val="000000"/>
        </w:rPr>
        <w:t xml:space="preserve"> </w:t>
      </w:r>
    </w:p>
    <w:p w:rsidR="00D813D6" w:rsidRDefault="00D813D6" w:rsidP="00C303D1">
      <w:pPr>
        <w:widowControl/>
        <w:suppressAutoHyphens w:val="0"/>
        <w:ind w:left="1440" w:hanging="720"/>
        <w:jc w:val="both"/>
        <w:rPr>
          <w:rFonts w:cs="Times New Roman"/>
          <w:color w:val="000000"/>
        </w:rPr>
      </w:pPr>
    </w:p>
    <w:p w:rsidR="00E17EE3" w:rsidRPr="00532DB7" w:rsidRDefault="00E17EE3" w:rsidP="00C303D1">
      <w:pPr>
        <w:widowControl/>
        <w:suppressAutoHyphens w:val="0"/>
        <w:ind w:left="1440" w:hanging="720"/>
        <w:jc w:val="both"/>
        <w:rPr>
          <w:rFonts w:cs="Times New Roman"/>
          <w:color w:val="000000"/>
        </w:rPr>
      </w:pPr>
      <w:r w:rsidRPr="00532DB7">
        <w:rPr>
          <w:rFonts w:cs="Times New Roman"/>
          <w:color w:val="000000"/>
        </w:rPr>
        <w:t>Property income = gross value added – depreciation – compensation of employees</w:t>
      </w:r>
    </w:p>
    <w:p w:rsidR="00D813D6" w:rsidRDefault="00D813D6" w:rsidP="00C303D1">
      <w:pPr>
        <w:widowControl/>
        <w:suppressAutoHyphens w:val="0"/>
        <w:ind w:left="1440" w:hanging="720"/>
        <w:jc w:val="both"/>
        <w:rPr>
          <w:rFonts w:cs="Times New Roman"/>
          <w:color w:val="000000"/>
        </w:rPr>
      </w:pPr>
    </w:p>
    <w:p w:rsidR="00E17EE3" w:rsidRPr="00532DB7" w:rsidRDefault="00E17EE3" w:rsidP="00C303D1">
      <w:pPr>
        <w:widowControl/>
        <w:suppressAutoHyphens w:val="0"/>
        <w:ind w:left="1440" w:hanging="720"/>
        <w:jc w:val="both"/>
        <w:rPr>
          <w:rFonts w:cs="Times New Roman"/>
          <w:color w:val="000000"/>
        </w:rPr>
      </w:pPr>
      <w:r w:rsidRPr="00532DB7">
        <w:rPr>
          <w:rFonts w:cs="Times New Roman"/>
          <w:color w:val="000000"/>
        </w:rPr>
        <w:t xml:space="preserve">Rate of profit = profit divided by net stock of fixed assets </w:t>
      </w:r>
      <w:r>
        <w:rPr>
          <w:color w:val="000000"/>
        </w:rPr>
        <w:t xml:space="preserve">as of </w:t>
      </w:r>
      <w:r w:rsidRPr="00532DB7">
        <w:rPr>
          <w:rFonts w:cs="Times New Roman"/>
          <w:color w:val="000000"/>
        </w:rPr>
        <w:t>end of preceding year</w:t>
      </w:r>
    </w:p>
    <w:p w:rsidR="00D813D6" w:rsidRDefault="00D813D6" w:rsidP="00C303D1">
      <w:pPr>
        <w:widowControl/>
        <w:suppressAutoHyphens w:val="0"/>
        <w:ind w:left="1440" w:hanging="720"/>
        <w:jc w:val="both"/>
        <w:rPr>
          <w:rFonts w:cs="Times New Roman"/>
          <w:color w:val="000000"/>
        </w:rPr>
      </w:pPr>
    </w:p>
    <w:p w:rsidR="00E17EE3" w:rsidRPr="00532DB7" w:rsidRDefault="00E17EE3" w:rsidP="00C303D1">
      <w:pPr>
        <w:widowControl/>
        <w:suppressAutoHyphens w:val="0"/>
        <w:ind w:left="1440" w:hanging="720"/>
        <w:jc w:val="both"/>
        <w:rPr>
          <w:rFonts w:cs="Times New Roman"/>
          <w:color w:val="000000"/>
        </w:rPr>
      </w:pPr>
      <w:r w:rsidRPr="00532DB7">
        <w:rPr>
          <w:rFonts w:cs="Times New Roman"/>
          <w:color w:val="000000"/>
        </w:rPr>
        <w:t xml:space="preserve">Rate of accumulation = net investment divided by net stock of fixed assets </w:t>
      </w:r>
      <w:r>
        <w:rPr>
          <w:color w:val="000000"/>
        </w:rPr>
        <w:t>as of</w:t>
      </w:r>
      <w:r w:rsidRPr="00532DB7">
        <w:rPr>
          <w:rFonts w:cs="Times New Roman"/>
          <w:color w:val="000000"/>
        </w:rPr>
        <w:t xml:space="preserve"> end of preceding year</w:t>
      </w:r>
    </w:p>
    <w:p w:rsidR="00D813D6" w:rsidRDefault="00D813D6" w:rsidP="00C303D1">
      <w:pPr>
        <w:widowControl/>
        <w:suppressAutoHyphens w:val="0"/>
        <w:ind w:left="720"/>
        <w:jc w:val="both"/>
        <w:rPr>
          <w:rFonts w:cs="Times New Roman"/>
          <w:color w:val="000000"/>
        </w:rPr>
      </w:pPr>
    </w:p>
    <w:p w:rsidR="00E17EE3" w:rsidRPr="00532DB7" w:rsidRDefault="00E17EE3" w:rsidP="00C303D1">
      <w:pPr>
        <w:widowControl/>
        <w:suppressAutoHyphens w:val="0"/>
        <w:ind w:left="720"/>
        <w:jc w:val="both"/>
        <w:rPr>
          <w:rFonts w:cs="Times New Roman"/>
          <w:color w:val="000000"/>
        </w:rPr>
      </w:pPr>
      <w:r w:rsidRPr="00532DB7">
        <w:rPr>
          <w:rFonts w:cs="Times New Roman"/>
          <w:color w:val="000000"/>
        </w:rPr>
        <w:t>Stock repurchases = – (</w:t>
      </w:r>
      <w:r w:rsidR="0071600A">
        <w:rPr>
          <w:rFonts w:cs="Times New Roman"/>
          <w:color w:val="000000"/>
        </w:rPr>
        <w:t>“</w:t>
      </w:r>
      <w:r w:rsidRPr="00532DB7">
        <w:rPr>
          <w:rFonts w:cs="Times New Roman"/>
        </w:rPr>
        <w:t>net new equity issues</w:t>
      </w:r>
      <w:r w:rsidR="0071600A">
        <w:rPr>
          <w:rFonts w:cs="Times New Roman"/>
        </w:rPr>
        <w:t>”</w:t>
      </w:r>
      <w:r w:rsidRPr="00532DB7">
        <w:rPr>
          <w:rFonts w:cs="Times New Roman"/>
        </w:rPr>
        <w:t>)</w:t>
      </w:r>
    </w:p>
    <w:p w:rsidR="00E17EE3" w:rsidRDefault="00E17EE3" w:rsidP="00C303D1">
      <w:pPr>
        <w:widowControl/>
        <w:suppressAutoHyphens w:val="0"/>
        <w:jc w:val="both"/>
        <w:rPr>
          <w:color w:val="000000"/>
        </w:rPr>
      </w:pPr>
    </w:p>
    <w:p w:rsidR="004A6F82" w:rsidRDefault="004A6F82" w:rsidP="00C303D1">
      <w:pPr>
        <w:widowControl/>
        <w:suppressAutoHyphens w:val="0"/>
        <w:spacing w:line="480" w:lineRule="auto"/>
        <w:jc w:val="both"/>
        <w:rPr>
          <w:b/>
          <w:color w:val="000000"/>
        </w:rPr>
      </w:pPr>
    </w:p>
    <w:p w:rsidR="00E17EE3" w:rsidRPr="00532DB7" w:rsidRDefault="00E17EE3" w:rsidP="00C303D1">
      <w:pPr>
        <w:widowControl/>
        <w:suppressAutoHyphens w:val="0"/>
        <w:jc w:val="both"/>
        <w:rPr>
          <w:b/>
          <w:color w:val="000000"/>
        </w:rPr>
      </w:pPr>
      <w:r w:rsidRPr="00532DB7">
        <w:rPr>
          <w:b/>
          <w:color w:val="000000"/>
        </w:rPr>
        <w:t>Data Sources</w:t>
      </w:r>
    </w:p>
    <w:p w:rsidR="00E17EE3" w:rsidRDefault="00E17EE3" w:rsidP="00701D17">
      <w:pPr>
        <w:widowControl/>
        <w:suppressAutoHyphens w:val="0"/>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8"/>
        <w:gridCol w:w="1440"/>
        <w:gridCol w:w="1127"/>
      </w:tblGrid>
      <w:tr w:rsidR="00E17EE3" w:rsidRPr="0029652B" w:rsidTr="003B2B35">
        <w:trPr>
          <w:trHeight w:val="120"/>
        </w:trPr>
        <w:tc>
          <w:tcPr>
            <w:tcW w:w="9245" w:type="dxa"/>
            <w:gridSpan w:val="3"/>
          </w:tcPr>
          <w:p w:rsidR="00E17EE3" w:rsidRPr="0029652B" w:rsidRDefault="00E17EE3" w:rsidP="00C303D1">
            <w:pPr>
              <w:widowControl/>
              <w:suppressAutoHyphens w:val="0"/>
              <w:jc w:val="center"/>
            </w:pPr>
            <w:r w:rsidRPr="00532DB7">
              <w:rPr>
                <w:b/>
                <w:color w:val="000000"/>
              </w:rPr>
              <w:t>Corporations (all domestic)</w:t>
            </w:r>
          </w:p>
        </w:tc>
      </w:tr>
      <w:tr w:rsidR="00E17EE3" w:rsidRPr="0029652B" w:rsidTr="003B2B35">
        <w:trPr>
          <w:trHeight w:val="120"/>
        </w:trPr>
        <w:tc>
          <w:tcPr>
            <w:tcW w:w="6678" w:type="dxa"/>
            <w:tcBorders>
              <w:bottom w:val="single" w:sz="4" w:space="0" w:color="000000" w:themeColor="text1"/>
            </w:tcBorders>
          </w:tcPr>
          <w:p w:rsidR="00E17EE3" w:rsidRPr="00532DB7" w:rsidRDefault="00E17EE3" w:rsidP="00C303D1">
            <w:pPr>
              <w:widowControl/>
              <w:suppressAutoHyphens w:val="0"/>
              <w:rPr>
                <w:b/>
                <w:color w:val="000000"/>
              </w:rPr>
            </w:pPr>
            <w:r w:rsidRPr="00532DB7">
              <w:rPr>
                <w:b/>
              </w:rPr>
              <w:t>Variable</w:t>
            </w:r>
          </w:p>
        </w:tc>
        <w:tc>
          <w:tcPr>
            <w:tcW w:w="1440" w:type="dxa"/>
            <w:tcBorders>
              <w:bottom w:val="single" w:sz="4" w:space="0" w:color="000000" w:themeColor="text1"/>
            </w:tcBorders>
          </w:tcPr>
          <w:p w:rsidR="00E17EE3" w:rsidRPr="00532DB7" w:rsidRDefault="00E17EE3" w:rsidP="00C303D1">
            <w:pPr>
              <w:widowControl/>
              <w:suppressAutoHyphens w:val="0"/>
              <w:rPr>
                <w:b/>
              </w:rPr>
            </w:pPr>
            <w:r w:rsidRPr="00532DB7">
              <w:rPr>
                <w:b/>
              </w:rPr>
              <w:t>Table</w:t>
            </w:r>
          </w:p>
        </w:tc>
        <w:tc>
          <w:tcPr>
            <w:tcW w:w="1127" w:type="dxa"/>
            <w:tcBorders>
              <w:bottom w:val="single" w:sz="4" w:space="0" w:color="000000" w:themeColor="text1"/>
            </w:tcBorders>
          </w:tcPr>
          <w:p w:rsidR="00E17EE3" w:rsidRPr="00532DB7" w:rsidRDefault="00E17EE3" w:rsidP="00C303D1">
            <w:pPr>
              <w:widowControl/>
              <w:suppressAutoHyphens w:val="0"/>
              <w:rPr>
                <w:b/>
              </w:rPr>
            </w:pPr>
            <w:r w:rsidRPr="00532DB7">
              <w:rPr>
                <w:b/>
              </w:rPr>
              <w:t>Line no.</w:t>
            </w:r>
          </w:p>
        </w:tc>
      </w:tr>
      <w:tr w:rsidR="00E17EE3" w:rsidRPr="0029652B" w:rsidTr="00E17EE3">
        <w:tc>
          <w:tcPr>
            <w:tcW w:w="6678" w:type="dxa"/>
            <w:tcBorders>
              <w:top w:val="single" w:sz="4" w:space="0" w:color="000000" w:themeColor="text1"/>
            </w:tcBorders>
          </w:tcPr>
          <w:p w:rsidR="00E17EE3" w:rsidRDefault="00E17EE3" w:rsidP="00C303D1">
            <w:pPr>
              <w:widowControl/>
              <w:suppressAutoHyphens w:val="0"/>
              <w:jc w:val="both"/>
              <w:rPr>
                <w:color w:val="000000"/>
              </w:rPr>
            </w:pPr>
            <w:r w:rsidRPr="0029652B">
              <w:rPr>
                <w:rFonts w:cs="Times New Roman"/>
              </w:rPr>
              <w:t>business current transfer payments (net)</w:t>
            </w:r>
          </w:p>
        </w:tc>
        <w:tc>
          <w:tcPr>
            <w:tcW w:w="1440" w:type="dxa"/>
            <w:tcBorders>
              <w:top w:val="single" w:sz="4" w:space="0" w:color="000000" w:themeColor="text1"/>
            </w:tcBorders>
          </w:tcPr>
          <w:p w:rsidR="00E17EE3" w:rsidRPr="0029652B" w:rsidRDefault="00E17EE3" w:rsidP="00C303D1">
            <w:pPr>
              <w:widowControl/>
              <w:suppressAutoHyphens w:val="0"/>
            </w:pPr>
            <w:r w:rsidRPr="00DC7480">
              <w:t>NIPA 1.14</w:t>
            </w:r>
          </w:p>
        </w:tc>
        <w:tc>
          <w:tcPr>
            <w:tcW w:w="1127" w:type="dxa"/>
            <w:tcBorders>
              <w:top w:val="single" w:sz="4" w:space="0" w:color="000000" w:themeColor="text1"/>
            </w:tcBorders>
          </w:tcPr>
          <w:p w:rsidR="00E17EE3" w:rsidRPr="0029652B" w:rsidRDefault="00E17EE3" w:rsidP="00C303D1">
            <w:pPr>
              <w:widowControl/>
              <w:suppressAutoHyphens w:val="0"/>
              <w:jc w:val="center"/>
            </w:pPr>
            <w:r>
              <w:t>10</w:t>
            </w:r>
          </w:p>
        </w:tc>
      </w:tr>
      <w:tr w:rsidR="00E17EE3" w:rsidRPr="0029652B" w:rsidTr="00E17EE3">
        <w:tc>
          <w:tcPr>
            <w:tcW w:w="6678" w:type="dxa"/>
          </w:tcPr>
          <w:p w:rsidR="00E17EE3" w:rsidRDefault="00E17EE3" w:rsidP="00C303D1">
            <w:pPr>
              <w:widowControl/>
              <w:suppressAutoHyphens w:val="0"/>
              <w:jc w:val="both"/>
            </w:pPr>
            <w:r w:rsidRPr="0029652B">
              <w:t>compensation of employees</w:t>
            </w:r>
          </w:p>
        </w:tc>
        <w:tc>
          <w:tcPr>
            <w:tcW w:w="1440" w:type="dxa"/>
          </w:tcPr>
          <w:p w:rsidR="00E17EE3" w:rsidRPr="0029652B" w:rsidRDefault="00E17EE3" w:rsidP="00C303D1">
            <w:pPr>
              <w:widowControl/>
              <w:suppressAutoHyphens w:val="0"/>
            </w:pPr>
            <w:r w:rsidRPr="00DC7480">
              <w:t>NIPA 1.14</w:t>
            </w:r>
          </w:p>
        </w:tc>
        <w:tc>
          <w:tcPr>
            <w:tcW w:w="1127" w:type="dxa"/>
          </w:tcPr>
          <w:p w:rsidR="00E17EE3" w:rsidRPr="0029652B" w:rsidRDefault="00E61556" w:rsidP="00C303D1">
            <w:pPr>
              <w:widowControl/>
              <w:suppressAutoHyphens w:val="0"/>
              <w:jc w:val="center"/>
            </w:pPr>
            <w:r>
              <w:t xml:space="preserve">  </w:t>
            </w:r>
            <w:r w:rsidR="00E17EE3">
              <w:t>4</w:t>
            </w:r>
          </w:p>
        </w:tc>
      </w:tr>
      <w:tr w:rsidR="00E17EE3" w:rsidRPr="0029652B" w:rsidTr="00E17EE3">
        <w:tc>
          <w:tcPr>
            <w:tcW w:w="6678" w:type="dxa"/>
          </w:tcPr>
          <w:p w:rsidR="00E17EE3" w:rsidRDefault="00E17EE3" w:rsidP="00C303D1">
            <w:pPr>
              <w:widowControl/>
              <w:suppressAutoHyphens w:val="0"/>
              <w:jc w:val="both"/>
            </w:pPr>
            <w:r w:rsidRPr="0029652B">
              <w:rPr>
                <w:color w:val="000000"/>
              </w:rPr>
              <w:t>depreciation of fixed assets (capital consumption), at current cost</w:t>
            </w:r>
          </w:p>
        </w:tc>
        <w:tc>
          <w:tcPr>
            <w:tcW w:w="1440" w:type="dxa"/>
          </w:tcPr>
          <w:p w:rsidR="00E17EE3" w:rsidRPr="0029652B" w:rsidRDefault="00E17EE3" w:rsidP="00C303D1">
            <w:pPr>
              <w:widowControl/>
              <w:suppressAutoHyphens w:val="0"/>
            </w:pPr>
            <w:r w:rsidRPr="00DC7480">
              <w:t>NIPA 1.14</w:t>
            </w:r>
          </w:p>
        </w:tc>
        <w:tc>
          <w:tcPr>
            <w:tcW w:w="1127" w:type="dxa"/>
          </w:tcPr>
          <w:p w:rsidR="00E17EE3" w:rsidRPr="0029652B" w:rsidRDefault="00E61556" w:rsidP="00C303D1">
            <w:pPr>
              <w:widowControl/>
              <w:suppressAutoHyphens w:val="0"/>
              <w:jc w:val="center"/>
            </w:pPr>
            <w:r>
              <w:t xml:space="preserve">  </w:t>
            </w:r>
            <w:r w:rsidR="00E17EE3">
              <w:t>2</w:t>
            </w:r>
          </w:p>
        </w:tc>
      </w:tr>
      <w:tr w:rsidR="00E17EE3" w:rsidRPr="0029652B" w:rsidTr="00E17EE3">
        <w:tc>
          <w:tcPr>
            <w:tcW w:w="6678" w:type="dxa"/>
          </w:tcPr>
          <w:p w:rsidR="00E17EE3" w:rsidRPr="0029652B" w:rsidRDefault="00E17EE3" w:rsidP="00C303D1">
            <w:pPr>
              <w:widowControl/>
              <w:suppressAutoHyphens w:val="0"/>
              <w:jc w:val="both"/>
              <w:rPr>
                <w:color w:val="000000"/>
              </w:rPr>
            </w:pPr>
            <w:r>
              <w:t>d</w:t>
            </w:r>
            <w:r w:rsidRPr="0029652B">
              <w:t>ividend</w:t>
            </w:r>
            <w:r>
              <w:t xml:space="preserve"> payments</w:t>
            </w:r>
            <w:r w:rsidRPr="0029652B">
              <w:t>, net</w:t>
            </w:r>
          </w:p>
        </w:tc>
        <w:tc>
          <w:tcPr>
            <w:tcW w:w="1440" w:type="dxa"/>
          </w:tcPr>
          <w:p w:rsidR="00E17EE3" w:rsidRPr="0029652B" w:rsidRDefault="00E17EE3" w:rsidP="00C303D1">
            <w:pPr>
              <w:widowControl/>
              <w:suppressAutoHyphens w:val="0"/>
            </w:pPr>
            <w:r w:rsidRPr="00DC7480">
              <w:t>NIPA 1.14</w:t>
            </w:r>
          </w:p>
        </w:tc>
        <w:tc>
          <w:tcPr>
            <w:tcW w:w="1127" w:type="dxa"/>
          </w:tcPr>
          <w:p w:rsidR="00E17EE3" w:rsidRPr="0029652B" w:rsidRDefault="00E17EE3" w:rsidP="00C303D1">
            <w:pPr>
              <w:widowControl/>
              <w:suppressAutoHyphens w:val="0"/>
              <w:jc w:val="center"/>
            </w:pPr>
            <w:r>
              <w:t>14</w:t>
            </w:r>
          </w:p>
        </w:tc>
      </w:tr>
      <w:tr w:rsidR="00E17EE3" w:rsidRPr="0029652B" w:rsidTr="00E17EE3">
        <w:tc>
          <w:tcPr>
            <w:tcW w:w="6678" w:type="dxa"/>
          </w:tcPr>
          <w:p w:rsidR="00E17EE3" w:rsidRPr="0029652B" w:rsidRDefault="00E17EE3" w:rsidP="00C303D1">
            <w:pPr>
              <w:widowControl/>
              <w:suppressAutoHyphens w:val="0"/>
              <w:jc w:val="both"/>
            </w:pPr>
            <w:r w:rsidRPr="0029652B">
              <w:rPr>
                <w:color w:val="000000"/>
              </w:rPr>
              <w:t>fixed assets, net stock valued at hist</w:t>
            </w:r>
            <w:r>
              <w:rPr>
                <w:color w:val="000000"/>
              </w:rPr>
              <w:t>o</w:t>
            </w:r>
            <w:r w:rsidRPr="0029652B">
              <w:rPr>
                <w:color w:val="000000"/>
              </w:rPr>
              <w:t>rical cost</w:t>
            </w:r>
          </w:p>
        </w:tc>
        <w:tc>
          <w:tcPr>
            <w:tcW w:w="1440" w:type="dxa"/>
          </w:tcPr>
          <w:p w:rsidR="00E17EE3" w:rsidRPr="0029652B" w:rsidRDefault="00E17EE3" w:rsidP="00C303D1">
            <w:pPr>
              <w:widowControl/>
              <w:suppressAutoHyphens w:val="0"/>
            </w:pPr>
            <w:r>
              <w:t>FAA 6.3</w:t>
            </w:r>
          </w:p>
        </w:tc>
        <w:tc>
          <w:tcPr>
            <w:tcW w:w="1127" w:type="dxa"/>
          </w:tcPr>
          <w:p w:rsidR="00E17EE3" w:rsidRPr="0029652B" w:rsidRDefault="00E61556" w:rsidP="00C303D1">
            <w:pPr>
              <w:widowControl/>
              <w:suppressAutoHyphens w:val="0"/>
              <w:jc w:val="center"/>
            </w:pPr>
            <w:r>
              <w:t xml:space="preserve">  </w:t>
            </w:r>
            <w:r w:rsidR="00E17EE3">
              <w:t>2</w:t>
            </w:r>
          </w:p>
        </w:tc>
      </w:tr>
      <w:tr w:rsidR="00E17EE3" w:rsidRPr="0029652B" w:rsidTr="00E17EE3">
        <w:tc>
          <w:tcPr>
            <w:tcW w:w="6678" w:type="dxa"/>
          </w:tcPr>
          <w:p w:rsidR="00E17EE3" w:rsidRPr="0029652B" w:rsidRDefault="00E17EE3" w:rsidP="00C303D1">
            <w:pPr>
              <w:widowControl/>
              <w:suppressAutoHyphens w:val="0"/>
              <w:jc w:val="both"/>
            </w:pPr>
            <w:r w:rsidRPr="0029652B">
              <w:t>gross investment in fixed assets</w:t>
            </w:r>
          </w:p>
        </w:tc>
        <w:tc>
          <w:tcPr>
            <w:tcW w:w="1440" w:type="dxa"/>
          </w:tcPr>
          <w:p w:rsidR="00E17EE3" w:rsidRPr="0029652B" w:rsidRDefault="00E17EE3" w:rsidP="00C303D1">
            <w:pPr>
              <w:widowControl/>
              <w:suppressAutoHyphens w:val="0"/>
            </w:pPr>
            <w:r>
              <w:t>FAA 6.7</w:t>
            </w:r>
          </w:p>
        </w:tc>
        <w:tc>
          <w:tcPr>
            <w:tcW w:w="1127" w:type="dxa"/>
          </w:tcPr>
          <w:p w:rsidR="00E17EE3" w:rsidRPr="0029652B" w:rsidRDefault="00E61556" w:rsidP="00C303D1">
            <w:pPr>
              <w:widowControl/>
              <w:suppressAutoHyphens w:val="0"/>
              <w:jc w:val="center"/>
            </w:pPr>
            <w:r>
              <w:t xml:space="preserve">  </w:t>
            </w:r>
            <w:r w:rsidR="00E17EE3">
              <w:t>2</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t>gross value added</w:t>
            </w:r>
          </w:p>
        </w:tc>
        <w:tc>
          <w:tcPr>
            <w:tcW w:w="1440" w:type="dxa"/>
          </w:tcPr>
          <w:p w:rsidR="00E17EE3" w:rsidRPr="0029652B" w:rsidRDefault="00E17EE3" w:rsidP="00C303D1">
            <w:pPr>
              <w:widowControl/>
              <w:suppressAutoHyphens w:val="0"/>
            </w:pPr>
            <w:r w:rsidRPr="00583DFB">
              <w:t>NIPA 1.14</w:t>
            </w:r>
          </w:p>
        </w:tc>
        <w:tc>
          <w:tcPr>
            <w:tcW w:w="1127" w:type="dxa"/>
          </w:tcPr>
          <w:p w:rsidR="00E17EE3" w:rsidRPr="0029652B" w:rsidRDefault="00E61556" w:rsidP="00C303D1">
            <w:pPr>
              <w:widowControl/>
              <w:suppressAutoHyphens w:val="0"/>
              <w:jc w:val="center"/>
            </w:pPr>
            <w:r>
              <w:t xml:space="preserve">  </w:t>
            </w:r>
            <w:r w:rsidR="00E17EE3">
              <w:t>1</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t>i</w:t>
            </w:r>
            <w:r w:rsidRPr="0029652B">
              <w:rPr>
                <w:rFonts w:cs="Times New Roman"/>
              </w:rPr>
              <w:t>nterest</w:t>
            </w:r>
            <w:r w:rsidRPr="0029652B">
              <w:t xml:space="preserve"> payments, net (plus </w:t>
            </w:r>
            <w:r w:rsidRPr="0029652B">
              <w:rPr>
                <w:rFonts w:cs="Times New Roman"/>
              </w:rPr>
              <w:t>miscellaneous payments</w:t>
            </w:r>
            <w:r w:rsidRPr="0029652B">
              <w:t>)</w:t>
            </w:r>
          </w:p>
        </w:tc>
        <w:tc>
          <w:tcPr>
            <w:tcW w:w="1440" w:type="dxa"/>
          </w:tcPr>
          <w:p w:rsidR="00E17EE3" w:rsidRPr="0029652B" w:rsidRDefault="00E17EE3" w:rsidP="00C303D1">
            <w:pPr>
              <w:widowControl/>
              <w:suppressAutoHyphens w:val="0"/>
            </w:pPr>
            <w:r w:rsidRPr="00583DFB">
              <w:t>NIPA 1.14</w:t>
            </w:r>
          </w:p>
        </w:tc>
        <w:tc>
          <w:tcPr>
            <w:tcW w:w="1127" w:type="dxa"/>
          </w:tcPr>
          <w:p w:rsidR="00E17EE3" w:rsidRPr="0029652B" w:rsidRDefault="00E61556" w:rsidP="00C303D1">
            <w:pPr>
              <w:widowControl/>
              <w:suppressAutoHyphens w:val="0"/>
              <w:jc w:val="center"/>
            </w:pPr>
            <w:r>
              <w:t xml:space="preserve">  </w:t>
            </w:r>
            <w:r w:rsidR="00E17EE3">
              <w:t>9</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rPr>
                <w:rFonts w:cs="Times New Roman"/>
                <w:color w:val="000000"/>
              </w:rPr>
              <w:t>taxes on corporate income</w:t>
            </w:r>
          </w:p>
        </w:tc>
        <w:tc>
          <w:tcPr>
            <w:tcW w:w="1440" w:type="dxa"/>
          </w:tcPr>
          <w:p w:rsidR="00E17EE3" w:rsidRPr="0029652B" w:rsidRDefault="00E17EE3" w:rsidP="00C303D1">
            <w:pPr>
              <w:widowControl/>
              <w:suppressAutoHyphens w:val="0"/>
            </w:pPr>
            <w:r w:rsidRPr="00583DFB">
              <w:t>NIPA 1.14</w:t>
            </w:r>
          </w:p>
        </w:tc>
        <w:tc>
          <w:tcPr>
            <w:tcW w:w="1127" w:type="dxa"/>
          </w:tcPr>
          <w:p w:rsidR="00E17EE3" w:rsidRPr="0029652B" w:rsidRDefault="00E17EE3" w:rsidP="00C303D1">
            <w:pPr>
              <w:widowControl/>
              <w:suppressAutoHyphens w:val="0"/>
              <w:jc w:val="center"/>
            </w:pPr>
            <w:r>
              <w:t>12</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rPr>
                <w:rFonts w:cs="Times New Roman"/>
              </w:rPr>
              <w:t>taxes on production and imports less subsidies</w:t>
            </w:r>
          </w:p>
        </w:tc>
        <w:tc>
          <w:tcPr>
            <w:tcW w:w="1440" w:type="dxa"/>
          </w:tcPr>
          <w:p w:rsidR="00E17EE3" w:rsidRPr="0029652B" w:rsidRDefault="00E17EE3" w:rsidP="00C303D1">
            <w:pPr>
              <w:widowControl/>
              <w:suppressAutoHyphens w:val="0"/>
            </w:pPr>
            <w:r w:rsidRPr="00583DFB">
              <w:t>NIPA 1.14</w:t>
            </w:r>
          </w:p>
        </w:tc>
        <w:tc>
          <w:tcPr>
            <w:tcW w:w="1127" w:type="dxa"/>
          </w:tcPr>
          <w:p w:rsidR="00E17EE3" w:rsidRPr="0029652B" w:rsidRDefault="00E61556" w:rsidP="00C303D1">
            <w:pPr>
              <w:widowControl/>
              <w:suppressAutoHyphens w:val="0"/>
              <w:jc w:val="center"/>
            </w:pPr>
            <w:r>
              <w:t xml:space="preserve">  </w:t>
            </w:r>
            <w:r w:rsidR="00E17EE3">
              <w:t>7</w:t>
            </w:r>
          </w:p>
        </w:tc>
      </w:tr>
      <w:tr w:rsidR="00E17EE3" w:rsidRPr="0029652B" w:rsidTr="00E17EE3">
        <w:tc>
          <w:tcPr>
            <w:tcW w:w="6678" w:type="dxa"/>
          </w:tcPr>
          <w:p w:rsidR="00E17EE3" w:rsidRDefault="00E17EE3" w:rsidP="00C303D1">
            <w:pPr>
              <w:widowControl/>
              <w:suppressAutoHyphens w:val="0"/>
              <w:jc w:val="both"/>
              <w:rPr>
                <w:color w:val="000000"/>
              </w:rPr>
            </w:pPr>
          </w:p>
          <w:p w:rsidR="003B2B35" w:rsidRDefault="003B2B35" w:rsidP="00C303D1">
            <w:pPr>
              <w:widowControl/>
              <w:suppressAutoHyphens w:val="0"/>
              <w:jc w:val="both"/>
              <w:rPr>
                <w:color w:val="000000"/>
              </w:rPr>
            </w:pPr>
          </w:p>
        </w:tc>
        <w:tc>
          <w:tcPr>
            <w:tcW w:w="1440" w:type="dxa"/>
          </w:tcPr>
          <w:p w:rsidR="00E17EE3" w:rsidRPr="0029652B" w:rsidRDefault="00E17EE3" w:rsidP="00C303D1">
            <w:pPr>
              <w:widowControl/>
              <w:suppressAutoHyphens w:val="0"/>
            </w:pPr>
          </w:p>
        </w:tc>
        <w:tc>
          <w:tcPr>
            <w:tcW w:w="1127" w:type="dxa"/>
          </w:tcPr>
          <w:p w:rsidR="00E17EE3" w:rsidRPr="0029652B" w:rsidRDefault="00E17EE3" w:rsidP="00C303D1">
            <w:pPr>
              <w:widowControl/>
              <w:suppressAutoHyphens w:val="0"/>
              <w:jc w:val="center"/>
            </w:pPr>
          </w:p>
        </w:tc>
      </w:tr>
      <w:tr w:rsidR="00E17EE3" w:rsidRPr="0029652B" w:rsidTr="003B2B35">
        <w:tc>
          <w:tcPr>
            <w:tcW w:w="9245" w:type="dxa"/>
            <w:gridSpan w:val="3"/>
          </w:tcPr>
          <w:p w:rsidR="00E17EE3" w:rsidRPr="0029652B" w:rsidRDefault="00E17EE3" w:rsidP="00C303D1">
            <w:pPr>
              <w:widowControl/>
              <w:suppressAutoHyphens w:val="0"/>
              <w:jc w:val="center"/>
            </w:pPr>
            <w:r w:rsidRPr="00532DB7">
              <w:rPr>
                <w:b/>
                <w:color w:val="000000"/>
              </w:rPr>
              <w:lastRenderedPageBreak/>
              <w:t>Financial corporations</w:t>
            </w:r>
          </w:p>
        </w:tc>
      </w:tr>
      <w:tr w:rsidR="00E17EE3" w:rsidRPr="0029652B" w:rsidTr="003B2B35">
        <w:tc>
          <w:tcPr>
            <w:tcW w:w="6678" w:type="dxa"/>
            <w:tcBorders>
              <w:bottom w:val="single" w:sz="4" w:space="0" w:color="000000" w:themeColor="text1"/>
            </w:tcBorders>
          </w:tcPr>
          <w:p w:rsidR="00E17EE3" w:rsidRPr="00532DB7" w:rsidRDefault="00E17EE3" w:rsidP="00C303D1">
            <w:pPr>
              <w:widowControl/>
              <w:suppressAutoHyphens w:val="0"/>
              <w:jc w:val="both"/>
              <w:rPr>
                <w:b/>
                <w:color w:val="000000"/>
              </w:rPr>
            </w:pPr>
            <w:r w:rsidRPr="00532DB7">
              <w:rPr>
                <w:b/>
              </w:rPr>
              <w:t>Variable</w:t>
            </w:r>
          </w:p>
        </w:tc>
        <w:tc>
          <w:tcPr>
            <w:tcW w:w="1440" w:type="dxa"/>
            <w:tcBorders>
              <w:bottom w:val="single" w:sz="4" w:space="0" w:color="000000" w:themeColor="text1"/>
            </w:tcBorders>
          </w:tcPr>
          <w:p w:rsidR="00E17EE3" w:rsidRPr="00532DB7" w:rsidRDefault="00E17EE3" w:rsidP="00C303D1">
            <w:pPr>
              <w:widowControl/>
              <w:suppressAutoHyphens w:val="0"/>
              <w:rPr>
                <w:b/>
              </w:rPr>
            </w:pPr>
            <w:r w:rsidRPr="00532DB7">
              <w:rPr>
                <w:b/>
              </w:rPr>
              <w:t>Table</w:t>
            </w:r>
          </w:p>
        </w:tc>
        <w:tc>
          <w:tcPr>
            <w:tcW w:w="1127" w:type="dxa"/>
            <w:tcBorders>
              <w:bottom w:val="single" w:sz="4" w:space="0" w:color="000000" w:themeColor="text1"/>
            </w:tcBorders>
          </w:tcPr>
          <w:p w:rsidR="00E17EE3" w:rsidRPr="00532DB7" w:rsidRDefault="00E17EE3" w:rsidP="00C303D1">
            <w:pPr>
              <w:widowControl/>
              <w:suppressAutoHyphens w:val="0"/>
              <w:jc w:val="center"/>
              <w:rPr>
                <w:b/>
              </w:rPr>
            </w:pPr>
            <w:r w:rsidRPr="00532DB7">
              <w:rPr>
                <w:b/>
              </w:rPr>
              <w:t>Line no.</w:t>
            </w:r>
          </w:p>
        </w:tc>
      </w:tr>
      <w:tr w:rsidR="00E17EE3" w:rsidRPr="0029652B" w:rsidTr="00E17EE3">
        <w:tc>
          <w:tcPr>
            <w:tcW w:w="6678" w:type="dxa"/>
            <w:tcBorders>
              <w:top w:val="single" w:sz="4" w:space="0" w:color="000000" w:themeColor="text1"/>
            </w:tcBorders>
          </w:tcPr>
          <w:p w:rsidR="00E17EE3" w:rsidRDefault="00E17EE3" w:rsidP="00C303D1">
            <w:pPr>
              <w:widowControl/>
              <w:suppressAutoHyphens w:val="0"/>
              <w:jc w:val="both"/>
              <w:rPr>
                <w:color w:val="000000"/>
              </w:rPr>
            </w:pPr>
            <w:r w:rsidRPr="0029652B">
              <w:rPr>
                <w:color w:val="000000"/>
              </w:rPr>
              <w:t>financial assets</w:t>
            </w:r>
            <w:r>
              <w:rPr>
                <w:color w:val="000000"/>
              </w:rPr>
              <w:t>, total</w:t>
            </w:r>
          </w:p>
        </w:tc>
        <w:tc>
          <w:tcPr>
            <w:tcW w:w="1440" w:type="dxa"/>
            <w:tcBorders>
              <w:top w:val="single" w:sz="4" w:space="0" w:color="000000" w:themeColor="text1"/>
            </w:tcBorders>
          </w:tcPr>
          <w:p w:rsidR="00E17EE3" w:rsidRPr="0029652B" w:rsidRDefault="00E17EE3" w:rsidP="00C303D1">
            <w:pPr>
              <w:widowControl/>
              <w:suppressAutoHyphens w:val="0"/>
            </w:pPr>
            <w:r>
              <w:rPr>
                <w:color w:val="000000"/>
              </w:rPr>
              <w:t>FoFA L.108</w:t>
            </w:r>
          </w:p>
        </w:tc>
        <w:tc>
          <w:tcPr>
            <w:tcW w:w="1127" w:type="dxa"/>
            <w:tcBorders>
              <w:top w:val="single" w:sz="4" w:space="0" w:color="000000" w:themeColor="text1"/>
            </w:tcBorders>
          </w:tcPr>
          <w:p w:rsidR="00E17EE3" w:rsidRPr="0029652B" w:rsidRDefault="00E61556" w:rsidP="00C303D1">
            <w:pPr>
              <w:widowControl/>
              <w:suppressAutoHyphens w:val="0"/>
              <w:jc w:val="center"/>
            </w:pPr>
            <w:r>
              <w:t xml:space="preserve">  </w:t>
            </w:r>
            <w:r w:rsidR="00E17EE3">
              <w:t>1</w:t>
            </w:r>
          </w:p>
        </w:tc>
      </w:tr>
      <w:tr w:rsidR="00E17EE3" w:rsidRPr="0029652B" w:rsidTr="00E17EE3">
        <w:tc>
          <w:tcPr>
            <w:tcW w:w="6678" w:type="dxa"/>
          </w:tcPr>
          <w:p w:rsidR="00E17EE3" w:rsidRDefault="00E17EE3" w:rsidP="00C303D1">
            <w:pPr>
              <w:widowControl/>
              <w:suppressAutoHyphens w:val="0"/>
              <w:jc w:val="both"/>
              <w:rPr>
                <w:color w:val="000000"/>
              </w:rPr>
            </w:pPr>
            <w:r w:rsidRPr="0029652B">
              <w:t>gross value added</w:t>
            </w:r>
          </w:p>
        </w:tc>
        <w:tc>
          <w:tcPr>
            <w:tcW w:w="1440" w:type="dxa"/>
          </w:tcPr>
          <w:p w:rsidR="00E17EE3" w:rsidRPr="0029652B" w:rsidRDefault="00E17EE3" w:rsidP="00C303D1">
            <w:pPr>
              <w:widowControl/>
              <w:suppressAutoHyphens w:val="0"/>
            </w:pPr>
            <w:r>
              <w:t>NIPA 1.14</w:t>
            </w:r>
          </w:p>
        </w:tc>
        <w:tc>
          <w:tcPr>
            <w:tcW w:w="1127" w:type="dxa"/>
          </w:tcPr>
          <w:p w:rsidR="00E17EE3" w:rsidRPr="0029652B" w:rsidRDefault="00E17EE3" w:rsidP="00C303D1">
            <w:pPr>
              <w:widowControl/>
              <w:suppressAutoHyphens w:val="0"/>
              <w:jc w:val="center"/>
            </w:pPr>
            <w:r>
              <w:t>16</w:t>
            </w:r>
          </w:p>
        </w:tc>
      </w:tr>
      <w:tr w:rsidR="00E17EE3" w:rsidRPr="0029652B" w:rsidTr="00E17EE3">
        <w:tc>
          <w:tcPr>
            <w:tcW w:w="6678" w:type="dxa"/>
          </w:tcPr>
          <w:p w:rsidR="00E17EE3" w:rsidRDefault="00E17EE3" w:rsidP="00C303D1">
            <w:pPr>
              <w:widowControl/>
              <w:suppressAutoHyphens w:val="0"/>
              <w:jc w:val="both"/>
              <w:rPr>
                <w:color w:val="000000"/>
              </w:rPr>
            </w:pPr>
            <w:r w:rsidRPr="0029652B">
              <w:rPr>
                <w:color w:val="000000"/>
              </w:rPr>
              <w:t>fixed assets, net stock valued at hist</w:t>
            </w:r>
            <w:r>
              <w:rPr>
                <w:color w:val="000000"/>
              </w:rPr>
              <w:t>o</w:t>
            </w:r>
            <w:r w:rsidRPr="0029652B">
              <w:rPr>
                <w:color w:val="000000"/>
              </w:rPr>
              <w:t>rical cost</w:t>
            </w:r>
          </w:p>
        </w:tc>
        <w:tc>
          <w:tcPr>
            <w:tcW w:w="1440" w:type="dxa"/>
          </w:tcPr>
          <w:p w:rsidR="00E17EE3" w:rsidRPr="0029652B" w:rsidRDefault="00E17EE3" w:rsidP="00C303D1">
            <w:pPr>
              <w:widowControl/>
              <w:suppressAutoHyphens w:val="0"/>
            </w:pPr>
            <w:r>
              <w:t>FAA 6.3</w:t>
            </w:r>
          </w:p>
        </w:tc>
        <w:tc>
          <w:tcPr>
            <w:tcW w:w="1127" w:type="dxa"/>
          </w:tcPr>
          <w:p w:rsidR="00E17EE3" w:rsidRPr="0029652B" w:rsidRDefault="00E61556" w:rsidP="00C303D1">
            <w:pPr>
              <w:widowControl/>
              <w:suppressAutoHyphens w:val="0"/>
              <w:jc w:val="center"/>
            </w:pPr>
            <w:r>
              <w:rPr>
                <w:color w:val="000000"/>
              </w:rPr>
              <w:t xml:space="preserve">  </w:t>
            </w:r>
            <w:r w:rsidR="00E17EE3">
              <w:rPr>
                <w:color w:val="000000"/>
              </w:rPr>
              <w:t>3</w:t>
            </w:r>
          </w:p>
        </w:tc>
      </w:tr>
      <w:tr w:rsidR="00E17EE3" w:rsidRPr="0029652B" w:rsidTr="00E17EE3">
        <w:tc>
          <w:tcPr>
            <w:tcW w:w="6678" w:type="dxa"/>
          </w:tcPr>
          <w:p w:rsidR="00E17EE3" w:rsidRDefault="00E17EE3" w:rsidP="00C303D1">
            <w:pPr>
              <w:widowControl/>
              <w:suppressAutoHyphens w:val="0"/>
              <w:jc w:val="both"/>
              <w:rPr>
                <w:color w:val="000000"/>
              </w:rPr>
            </w:pPr>
          </w:p>
          <w:p w:rsidR="003B2B35" w:rsidRDefault="003B2B35" w:rsidP="00C303D1">
            <w:pPr>
              <w:widowControl/>
              <w:suppressAutoHyphens w:val="0"/>
              <w:jc w:val="both"/>
              <w:rPr>
                <w:color w:val="000000"/>
              </w:rPr>
            </w:pPr>
          </w:p>
        </w:tc>
        <w:tc>
          <w:tcPr>
            <w:tcW w:w="1440" w:type="dxa"/>
          </w:tcPr>
          <w:p w:rsidR="00E17EE3" w:rsidRPr="0029652B" w:rsidRDefault="00E17EE3" w:rsidP="00C303D1">
            <w:pPr>
              <w:widowControl/>
              <w:suppressAutoHyphens w:val="0"/>
            </w:pPr>
          </w:p>
        </w:tc>
        <w:tc>
          <w:tcPr>
            <w:tcW w:w="1127" w:type="dxa"/>
          </w:tcPr>
          <w:p w:rsidR="00E17EE3" w:rsidRPr="0029652B" w:rsidRDefault="00E17EE3" w:rsidP="00C303D1">
            <w:pPr>
              <w:widowControl/>
              <w:suppressAutoHyphens w:val="0"/>
              <w:jc w:val="center"/>
            </w:pPr>
          </w:p>
        </w:tc>
      </w:tr>
      <w:tr w:rsidR="00E17EE3" w:rsidRPr="0029652B" w:rsidTr="003B2B35">
        <w:tc>
          <w:tcPr>
            <w:tcW w:w="9245" w:type="dxa"/>
            <w:gridSpan w:val="3"/>
          </w:tcPr>
          <w:p w:rsidR="00E17EE3" w:rsidRPr="0029652B" w:rsidRDefault="00E17EE3" w:rsidP="00C303D1">
            <w:pPr>
              <w:widowControl/>
              <w:suppressAutoHyphens w:val="0"/>
              <w:jc w:val="center"/>
            </w:pPr>
            <w:r w:rsidRPr="00532DB7">
              <w:rPr>
                <w:b/>
                <w:color w:val="000000"/>
              </w:rPr>
              <w:t>Nonfinancial corporations</w:t>
            </w:r>
          </w:p>
        </w:tc>
      </w:tr>
      <w:tr w:rsidR="00E17EE3" w:rsidRPr="0029652B" w:rsidTr="003B2B35">
        <w:tc>
          <w:tcPr>
            <w:tcW w:w="6678" w:type="dxa"/>
            <w:tcBorders>
              <w:bottom w:val="single" w:sz="4" w:space="0" w:color="000000" w:themeColor="text1"/>
            </w:tcBorders>
          </w:tcPr>
          <w:p w:rsidR="00E17EE3" w:rsidRPr="00532DB7" w:rsidRDefault="00E17EE3" w:rsidP="00C303D1">
            <w:pPr>
              <w:widowControl/>
              <w:suppressAutoHyphens w:val="0"/>
              <w:rPr>
                <w:b/>
              </w:rPr>
            </w:pPr>
            <w:r w:rsidRPr="00532DB7">
              <w:rPr>
                <w:b/>
              </w:rPr>
              <w:t>Variable</w:t>
            </w:r>
          </w:p>
        </w:tc>
        <w:tc>
          <w:tcPr>
            <w:tcW w:w="1440" w:type="dxa"/>
            <w:tcBorders>
              <w:bottom w:val="single" w:sz="4" w:space="0" w:color="000000" w:themeColor="text1"/>
            </w:tcBorders>
          </w:tcPr>
          <w:p w:rsidR="00E17EE3" w:rsidRPr="00532DB7" w:rsidRDefault="00E17EE3" w:rsidP="00C303D1">
            <w:pPr>
              <w:widowControl/>
              <w:suppressAutoHyphens w:val="0"/>
              <w:rPr>
                <w:b/>
              </w:rPr>
            </w:pPr>
            <w:r w:rsidRPr="00532DB7">
              <w:rPr>
                <w:b/>
              </w:rPr>
              <w:t>Table</w:t>
            </w:r>
          </w:p>
        </w:tc>
        <w:tc>
          <w:tcPr>
            <w:tcW w:w="1127" w:type="dxa"/>
            <w:tcBorders>
              <w:bottom w:val="single" w:sz="4" w:space="0" w:color="000000" w:themeColor="text1"/>
            </w:tcBorders>
          </w:tcPr>
          <w:p w:rsidR="00E17EE3" w:rsidRPr="00532DB7" w:rsidRDefault="00E17EE3" w:rsidP="00C303D1">
            <w:pPr>
              <w:widowControl/>
              <w:suppressAutoHyphens w:val="0"/>
              <w:jc w:val="center"/>
              <w:rPr>
                <w:b/>
              </w:rPr>
            </w:pPr>
            <w:r w:rsidRPr="00532DB7">
              <w:rPr>
                <w:b/>
              </w:rPr>
              <w:t>Line no.</w:t>
            </w:r>
          </w:p>
        </w:tc>
      </w:tr>
      <w:tr w:rsidR="00E17EE3" w:rsidRPr="0029652B" w:rsidTr="00E17EE3">
        <w:tc>
          <w:tcPr>
            <w:tcW w:w="6678" w:type="dxa"/>
            <w:tcBorders>
              <w:top w:val="single" w:sz="4" w:space="0" w:color="000000" w:themeColor="text1"/>
            </w:tcBorders>
          </w:tcPr>
          <w:p w:rsidR="00E17EE3" w:rsidRPr="0029652B" w:rsidRDefault="00E17EE3" w:rsidP="00C303D1">
            <w:pPr>
              <w:widowControl/>
              <w:suppressAutoHyphens w:val="0"/>
              <w:jc w:val="both"/>
            </w:pPr>
            <w:r w:rsidRPr="0029652B">
              <w:rPr>
                <w:rFonts w:cs="Times New Roman"/>
              </w:rPr>
              <w:t>business current transfer payments (net)</w:t>
            </w:r>
          </w:p>
        </w:tc>
        <w:tc>
          <w:tcPr>
            <w:tcW w:w="1440" w:type="dxa"/>
            <w:tcBorders>
              <w:top w:val="single" w:sz="4" w:space="0" w:color="000000" w:themeColor="text1"/>
            </w:tcBorders>
          </w:tcPr>
          <w:p w:rsidR="00E17EE3" w:rsidRPr="0029652B" w:rsidRDefault="00E17EE3" w:rsidP="00C303D1">
            <w:pPr>
              <w:widowControl/>
              <w:suppressAutoHyphens w:val="0"/>
            </w:pPr>
            <w:r>
              <w:t>NIPA 1.14</w:t>
            </w:r>
          </w:p>
        </w:tc>
        <w:tc>
          <w:tcPr>
            <w:tcW w:w="1127" w:type="dxa"/>
            <w:tcBorders>
              <w:top w:val="single" w:sz="4" w:space="0" w:color="000000" w:themeColor="text1"/>
            </w:tcBorders>
          </w:tcPr>
          <w:p w:rsidR="00E17EE3" w:rsidRPr="0029652B" w:rsidRDefault="00E17EE3" w:rsidP="00C303D1">
            <w:pPr>
              <w:widowControl/>
              <w:tabs>
                <w:tab w:val="right" w:pos="522"/>
              </w:tabs>
              <w:suppressAutoHyphens w:val="0"/>
              <w:jc w:val="center"/>
            </w:pPr>
            <w:r>
              <w:t>26</w:t>
            </w:r>
          </w:p>
        </w:tc>
      </w:tr>
      <w:tr w:rsidR="00E17EE3" w:rsidRPr="0029652B" w:rsidTr="00E17EE3">
        <w:tc>
          <w:tcPr>
            <w:tcW w:w="6678" w:type="dxa"/>
          </w:tcPr>
          <w:p w:rsidR="00E17EE3" w:rsidRPr="0029652B" w:rsidRDefault="00E17EE3" w:rsidP="00C303D1">
            <w:pPr>
              <w:widowControl/>
              <w:suppressAutoHyphens w:val="0"/>
              <w:jc w:val="both"/>
            </w:pPr>
            <w:r w:rsidRPr="0029652B">
              <w:t>compensation of employees</w:t>
            </w:r>
          </w:p>
        </w:tc>
        <w:tc>
          <w:tcPr>
            <w:tcW w:w="1440" w:type="dxa"/>
          </w:tcPr>
          <w:p w:rsidR="00E17EE3" w:rsidRPr="0029652B" w:rsidRDefault="00E17EE3" w:rsidP="00C303D1">
            <w:pPr>
              <w:widowControl/>
              <w:suppressAutoHyphens w:val="0"/>
            </w:pPr>
            <w:r>
              <w:t>NIPA 1.14</w:t>
            </w:r>
          </w:p>
        </w:tc>
        <w:tc>
          <w:tcPr>
            <w:tcW w:w="1127" w:type="dxa"/>
          </w:tcPr>
          <w:p w:rsidR="00E17EE3" w:rsidRPr="0029652B" w:rsidRDefault="00E17EE3" w:rsidP="00C303D1">
            <w:pPr>
              <w:widowControl/>
              <w:tabs>
                <w:tab w:val="right" w:pos="522"/>
              </w:tabs>
              <w:suppressAutoHyphens w:val="0"/>
              <w:jc w:val="center"/>
            </w:pPr>
            <w:r>
              <w:t>20</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rPr>
                <w:color w:val="000000"/>
              </w:rPr>
              <w:t>depreciation of fixed assets (capital consumption), at current cost</w:t>
            </w:r>
          </w:p>
        </w:tc>
        <w:tc>
          <w:tcPr>
            <w:tcW w:w="1440" w:type="dxa"/>
          </w:tcPr>
          <w:p w:rsidR="00E17EE3" w:rsidRPr="0029652B" w:rsidRDefault="00E17EE3" w:rsidP="00C303D1">
            <w:pPr>
              <w:widowControl/>
              <w:suppressAutoHyphens w:val="0"/>
              <w:rPr>
                <w:color w:val="000000"/>
              </w:rPr>
            </w:pPr>
            <w:r>
              <w:t>NIPA 1.14</w:t>
            </w:r>
          </w:p>
        </w:tc>
        <w:tc>
          <w:tcPr>
            <w:tcW w:w="1127" w:type="dxa"/>
          </w:tcPr>
          <w:p w:rsidR="00E17EE3" w:rsidRPr="0029652B" w:rsidRDefault="00E17EE3" w:rsidP="00C303D1">
            <w:pPr>
              <w:widowControl/>
              <w:tabs>
                <w:tab w:val="right" w:pos="522"/>
              </w:tabs>
              <w:suppressAutoHyphens w:val="0"/>
              <w:jc w:val="center"/>
              <w:rPr>
                <w:color w:val="000000"/>
              </w:rPr>
            </w:pPr>
            <w:r>
              <w:rPr>
                <w:color w:val="000000"/>
              </w:rPr>
              <w:t>18</w:t>
            </w:r>
          </w:p>
        </w:tc>
      </w:tr>
      <w:tr w:rsidR="00E17EE3" w:rsidRPr="0029652B" w:rsidTr="00E17EE3">
        <w:tc>
          <w:tcPr>
            <w:tcW w:w="6678" w:type="dxa"/>
          </w:tcPr>
          <w:p w:rsidR="00E17EE3" w:rsidRPr="0029652B" w:rsidRDefault="00E17EE3" w:rsidP="00C303D1">
            <w:pPr>
              <w:widowControl/>
              <w:suppressAutoHyphens w:val="0"/>
              <w:jc w:val="both"/>
            </w:pPr>
            <w:r>
              <w:t>d</w:t>
            </w:r>
            <w:r w:rsidRPr="0029652B">
              <w:t>ividend</w:t>
            </w:r>
            <w:r>
              <w:t xml:space="preserve"> payments</w:t>
            </w:r>
            <w:r w:rsidRPr="0029652B">
              <w:t>, net</w:t>
            </w:r>
          </w:p>
        </w:tc>
        <w:tc>
          <w:tcPr>
            <w:tcW w:w="1440" w:type="dxa"/>
          </w:tcPr>
          <w:p w:rsidR="00E17EE3" w:rsidRPr="0029652B" w:rsidRDefault="00E17EE3" w:rsidP="00C303D1">
            <w:pPr>
              <w:widowControl/>
              <w:suppressAutoHyphens w:val="0"/>
            </w:pPr>
            <w:r>
              <w:t>NIPA 1.14</w:t>
            </w:r>
          </w:p>
        </w:tc>
        <w:tc>
          <w:tcPr>
            <w:tcW w:w="1127" w:type="dxa"/>
          </w:tcPr>
          <w:p w:rsidR="00E17EE3" w:rsidRPr="0029652B" w:rsidRDefault="00E17EE3" w:rsidP="00C303D1">
            <w:pPr>
              <w:widowControl/>
              <w:tabs>
                <w:tab w:val="right" w:pos="522"/>
              </w:tabs>
              <w:suppressAutoHyphens w:val="0"/>
              <w:jc w:val="center"/>
            </w:pPr>
            <w:r>
              <w:t>30</w:t>
            </w:r>
          </w:p>
        </w:tc>
      </w:tr>
      <w:tr w:rsidR="00E17EE3" w:rsidRPr="0029652B" w:rsidTr="00E17EE3">
        <w:tc>
          <w:tcPr>
            <w:tcW w:w="6678" w:type="dxa"/>
          </w:tcPr>
          <w:p w:rsidR="00E17EE3" w:rsidRPr="0029652B" w:rsidRDefault="00E17EE3" w:rsidP="00C303D1">
            <w:pPr>
              <w:widowControl/>
              <w:suppressAutoHyphens w:val="0"/>
              <w:jc w:val="both"/>
            </w:pPr>
            <w:r w:rsidRPr="0029652B">
              <w:t>e</w:t>
            </w:r>
            <w:r w:rsidRPr="0029652B">
              <w:rPr>
                <w:rFonts w:cs="Times New Roman"/>
              </w:rPr>
              <w:t>quity issues</w:t>
            </w:r>
            <w:r w:rsidRPr="0029652B">
              <w:t>, net new</w:t>
            </w:r>
          </w:p>
        </w:tc>
        <w:tc>
          <w:tcPr>
            <w:tcW w:w="1440" w:type="dxa"/>
          </w:tcPr>
          <w:p w:rsidR="00E17EE3" w:rsidRPr="0029652B" w:rsidRDefault="00E17EE3" w:rsidP="00C303D1">
            <w:pPr>
              <w:widowControl/>
              <w:suppressAutoHyphens w:val="0"/>
            </w:pPr>
            <w:r>
              <w:rPr>
                <w:color w:val="000000"/>
              </w:rPr>
              <w:t>FoFA F.102</w:t>
            </w:r>
          </w:p>
        </w:tc>
        <w:tc>
          <w:tcPr>
            <w:tcW w:w="1127" w:type="dxa"/>
          </w:tcPr>
          <w:p w:rsidR="00E17EE3" w:rsidRPr="0029652B" w:rsidRDefault="00E17EE3" w:rsidP="00C303D1">
            <w:pPr>
              <w:widowControl/>
              <w:tabs>
                <w:tab w:val="right" w:pos="522"/>
              </w:tabs>
              <w:suppressAutoHyphens w:val="0"/>
              <w:jc w:val="center"/>
            </w:pPr>
            <w:r>
              <w:rPr>
                <w:color w:val="000000"/>
              </w:rPr>
              <w:t>39</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rPr>
                <w:color w:val="000000"/>
              </w:rPr>
              <w:t xml:space="preserve">financial </w:t>
            </w:r>
            <w:r>
              <w:rPr>
                <w:color w:val="000000"/>
              </w:rPr>
              <w:t xml:space="preserve">assests, </w:t>
            </w:r>
            <w:r w:rsidRPr="0029652B">
              <w:rPr>
                <w:color w:val="000000"/>
              </w:rPr>
              <w:t>acquisitions</w:t>
            </w:r>
            <w:r>
              <w:rPr>
                <w:color w:val="000000"/>
              </w:rPr>
              <w:t xml:space="preserve"> of (</w:t>
            </w:r>
            <w:r w:rsidRPr="0029652B">
              <w:rPr>
                <w:color w:val="000000"/>
              </w:rPr>
              <w:t>net</w:t>
            </w:r>
            <w:r>
              <w:rPr>
                <w:color w:val="000000"/>
              </w:rPr>
              <w:t>)</w:t>
            </w:r>
            <w:r w:rsidRPr="0029652B">
              <w:rPr>
                <w:color w:val="000000"/>
              </w:rPr>
              <w:t xml:space="preserve"> </w:t>
            </w:r>
          </w:p>
        </w:tc>
        <w:tc>
          <w:tcPr>
            <w:tcW w:w="1440" w:type="dxa"/>
          </w:tcPr>
          <w:p w:rsidR="00E17EE3" w:rsidRPr="0029652B" w:rsidRDefault="00E17EE3" w:rsidP="00C303D1">
            <w:pPr>
              <w:widowControl/>
              <w:suppressAutoHyphens w:val="0"/>
              <w:rPr>
                <w:color w:val="000000"/>
              </w:rPr>
            </w:pPr>
            <w:r>
              <w:rPr>
                <w:color w:val="000000"/>
              </w:rPr>
              <w:t>FoFA F.102</w:t>
            </w:r>
          </w:p>
        </w:tc>
        <w:tc>
          <w:tcPr>
            <w:tcW w:w="1127" w:type="dxa"/>
          </w:tcPr>
          <w:p w:rsidR="00E17EE3" w:rsidRPr="0029652B" w:rsidRDefault="00E17EE3" w:rsidP="00C303D1">
            <w:pPr>
              <w:widowControl/>
              <w:tabs>
                <w:tab w:val="right" w:pos="522"/>
              </w:tabs>
              <w:suppressAutoHyphens w:val="0"/>
              <w:jc w:val="center"/>
              <w:rPr>
                <w:color w:val="000000"/>
              </w:rPr>
            </w:pPr>
            <w:r>
              <w:rPr>
                <w:color w:val="000000"/>
              </w:rPr>
              <w:t>16</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rPr>
                <w:color w:val="000000"/>
              </w:rPr>
              <w:t>financial assets</w:t>
            </w:r>
            <w:r>
              <w:rPr>
                <w:color w:val="000000"/>
              </w:rPr>
              <w:t>, total</w:t>
            </w:r>
          </w:p>
        </w:tc>
        <w:tc>
          <w:tcPr>
            <w:tcW w:w="1440" w:type="dxa"/>
          </w:tcPr>
          <w:p w:rsidR="00E17EE3" w:rsidRPr="0029652B" w:rsidRDefault="00E17EE3" w:rsidP="00C303D1">
            <w:pPr>
              <w:widowControl/>
              <w:suppressAutoHyphens w:val="0"/>
              <w:rPr>
                <w:color w:val="000000"/>
              </w:rPr>
            </w:pPr>
            <w:r>
              <w:rPr>
                <w:color w:val="000000"/>
              </w:rPr>
              <w:t>FoFA L.102</w:t>
            </w:r>
          </w:p>
        </w:tc>
        <w:tc>
          <w:tcPr>
            <w:tcW w:w="1127" w:type="dxa"/>
          </w:tcPr>
          <w:p w:rsidR="00E17EE3" w:rsidRPr="0029652B" w:rsidRDefault="00E61556" w:rsidP="00C303D1">
            <w:pPr>
              <w:widowControl/>
              <w:tabs>
                <w:tab w:val="right" w:pos="522"/>
              </w:tabs>
              <w:suppressAutoHyphens w:val="0"/>
              <w:jc w:val="center"/>
              <w:rPr>
                <w:color w:val="000000"/>
              </w:rPr>
            </w:pPr>
            <w:r>
              <w:rPr>
                <w:color w:val="000000"/>
              </w:rPr>
              <w:t xml:space="preserve">  </w:t>
            </w:r>
            <w:r w:rsidR="00E17EE3">
              <w:rPr>
                <w:color w:val="000000"/>
              </w:rPr>
              <w:t>1</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rPr>
                <w:color w:val="000000"/>
              </w:rPr>
              <w:t>fixed assets, net stock valued at current cost</w:t>
            </w:r>
          </w:p>
        </w:tc>
        <w:tc>
          <w:tcPr>
            <w:tcW w:w="1440" w:type="dxa"/>
          </w:tcPr>
          <w:p w:rsidR="00E17EE3" w:rsidRPr="0029652B" w:rsidRDefault="00E17EE3" w:rsidP="00C303D1">
            <w:pPr>
              <w:widowControl/>
              <w:suppressAutoHyphens w:val="0"/>
              <w:rPr>
                <w:color w:val="000000"/>
              </w:rPr>
            </w:pPr>
            <w:r>
              <w:t>FAA 6.1</w:t>
            </w:r>
          </w:p>
        </w:tc>
        <w:tc>
          <w:tcPr>
            <w:tcW w:w="1127" w:type="dxa"/>
          </w:tcPr>
          <w:p w:rsidR="00E17EE3" w:rsidRPr="0029652B" w:rsidRDefault="00E61556" w:rsidP="00C303D1">
            <w:pPr>
              <w:widowControl/>
              <w:tabs>
                <w:tab w:val="right" w:pos="522"/>
              </w:tabs>
              <w:suppressAutoHyphens w:val="0"/>
              <w:jc w:val="center"/>
              <w:rPr>
                <w:color w:val="000000"/>
              </w:rPr>
            </w:pPr>
            <w:r>
              <w:rPr>
                <w:color w:val="000000"/>
              </w:rPr>
              <w:t xml:space="preserve">  </w:t>
            </w:r>
            <w:r w:rsidR="00E17EE3">
              <w:rPr>
                <w:color w:val="000000"/>
              </w:rPr>
              <w:t>4</w:t>
            </w:r>
          </w:p>
        </w:tc>
      </w:tr>
      <w:tr w:rsidR="00E17EE3" w:rsidRPr="0029652B" w:rsidTr="00E17EE3">
        <w:tc>
          <w:tcPr>
            <w:tcW w:w="6678" w:type="dxa"/>
          </w:tcPr>
          <w:p w:rsidR="00E17EE3" w:rsidRPr="0029652B" w:rsidRDefault="00E17EE3" w:rsidP="00C303D1">
            <w:pPr>
              <w:widowControl/>
              <w:suppressAutoHyphens w:val="0"/>
              <w:jc w:val="both"/>
              <w:rPr>
                <w:color w:val="000000"/>
              </w:rPr>
            </w:pPr>
            <w:r w:rsidRPr="0029652B">
              <w:rPr>
                <w:color w:val="000000"/>
              </w:rPr>
              <w:t>fixed assets, net stock valued at hist</w:t>
            </w:r>
            <w:r>
              <w:rPr>
                <w:color w:val="000000"/>
              </w:rPr>
              <w:t>o</w:t>
            </w:r>
            <w:r w:rsidRPr="0029652B">
              <w:rPr>
                <w:color w:val="000000"/>
              </w:rPr>
              <w:t>rical cost</w:t>
            </w:r>
          </w:p>
        </w:tc>
        <w:tc>
          <w:tcPr>
            <w:tcW w:w="1440" w:type="dxa"/>
          </w:tcPr>
          <w:p w:rsidR="00E17EE3" w:rsidRPr="0029652B" w:rsidRDefault="00E17EE3" w:rsidP="00C303D1">
            <w:pPr>
              <w:widowControl/>
              <w:suppressAutoHyphens w:val="0"/>
              <w:rPr>
                <w:color w:val="000000"/>
              </w:rPr>
            </w:pPr>
            <w:r>
              <w:t>FAA 6.3</w:t>
            </w:r>
          </w:p>
        </w:tc>
        <w:tc>
          <w:tcPr>
            <w:tcW w:w="1127" w:type="dxa"/>
          </w:tcPr>
          <w:p w:rsidR="00E17EE3" w:rsidRPr="0029652B" w:rsidRDefault="00E61556" w:rsidP="00C303D1">
            <w:pPr>
              <w:widowControl/>
              <w:tabs>
                <w:tab w:val="right" w:pos="522"/>
              </w:tabs>
              <w:suppressAutoHyphens w:val="0"/>
              <w:jc w:val="center"/>
              <w:rPr>
                <w:color w:val="000000"/>
              </w:rPr>
            </w:pPr>
            <w:r>
              <w:rPr>
                <w:color w:val="000000"/>
              </w:rPr>
              <w:t xml:space="preserve">  </w:t>
            </w:r>
            <w:r w:rsidR="00E17EE3">
              <w:rPr>
                <w:color w:val="000000"/>
              </w:rPr>
              <w:t>4</w:t>
            </w:r>
          </w:p>
        </w:tc>
      </w:tr>
      <w:tr w:rsidR="00DC634F" w:rsidRPr="0029652B" w:rsidTr="00E17EE3">
        <w:tc>
          <w:tcPr>
            <w:tcW w:w="6678" w:type="dxa"/>
          </w:tcPr>
          <w:p w:rsidR="00DC634F" w:rsidRPr="0029652B" w:rsidRDefault="008A4298" w:rsidP="00D813D6">
            <w:pPr>
              <w:widowControl/>
              <w:suppressAutoHyphens w:val="0"/>
              <w:jc w:val="both"/>
            </w:pPr>
            <w:r>
              <w:t xml:space="preserve">gross </w:t>
            </w:r>
            <w:r w:rsidR="00DC634F">
              <w:t>fixed investment</w:t>
            </w:r>
          </w:p>
        </w:tc>
        <w:tc>
          <w:tcPr>
            <w:tcW w:w="1440" w:type="dxa"/>
          </w:tcPr>
          <w:p w:rsidR="00DC634F" w:rsidRDefault="00DC634F" w:rsidP="00D813D6">
            <w:pPr>
              <w:widowControl/>
              <w:suppressAutoHyphens w:val="0"/>
            </w:pPr>
            <w:r>
              <w:rPr>
                <w:color w:val="000000"/>
              </w:rPr>
              <w:t>FoFA F.102</w:t>
            </w:r>
          </w:p>
        </w:tc>
        <w:tc>
          <w:tcPr>
            <w:tcW w:w="1127" w:type="dxa"/>
          </w:tcPr>
          <w:p w:rsidR="00DC634F" w:rsidRDefault="00DC634F" w:rsidP="004A6F82">
            <w:pPr>
              <w:widowControl/>
              <w:tabs>
                <w:tab w:val="right" w:pos="522"/>
              </w:tabs>
              <w:suppressAutoHyphens w:val="0"/>
              <w:jc w:val="center"/>
            </w:pPr>
            <w:r>
              <w:rPr>
                <w:color w:val="000000"/>
              </w:rPr>
              <w:t>12</w:t>
            </w:r>
          </w:p>
        </w:tc>
      </w:tr>
      <w:tr w:rsidR="00DC634F" w:rsidRPr="0029652B" w:rsidTr="00E17EE3">
        <w:tc>
          <w:tcPr>
            <w:tcW w:w="6678" w:type="dxa"/>
          </w:tcPr>
          <w:p w:rsidR="00DC634F" w:rsidRPr="0029652B" w:rsidRDefault="00DC634F" w:rsidP="00C303D1">
            <w:pPr>
              <w:widowControl/>
              <w:suppressAutoHyphens w:val="0"/>
              <w:jc w:val="both"/>
            </w:pPr>
            <w:r w:rsidRPr="0029652B">
              <w:t>gross investment in fixed assets</w:t>
            </w:r>
          </w:p>
        </w:tc>
        <w:tc>
          <w:tcPr>
            <w:tcW w:w="1440" w:type="dxa"/>
          </w:tcPr>
          <w:p w:rsidR="00DC634F" w:rsidRPr="0029652B" w:rsidRDefault="00DC634F" w:rsidP="00C303D1">
            <w:pPr>
              <w:widowControl/>
              <w:suppressAutoHyphens w:val="0"/>
            </w:pPr>
            <w:r>
              <w:t>FAA 6.7</w:t>
            </w:r>
          </w:p>
        </w:tc>
        <w:tc>
          <w:tcPr>
            <w:tcW w:w="1127" w:type="dxa"/>
          </w:tcPr>
          <w:p w:rsidR="00DC634F" w:rsidRPr="0029652B" w:rsidRDefault="00DC634F" w:rsidP="00C303D1">
            <w:pPr>
              <w:widowControl/>
              <w:tabs>
                <w:tab w:val="right" w:pos="522"/>
              </w:tabs>
              <w:suppressAutoHyphens w:val="0"/>
              <w:jc w:val="center"/>
            </w:pPr>
            <w:r>
              <w:t xml:space="preserve">  4</w:t>
            </w:r>
          </w:p>
        </w:tc>
      </w:tr>
      <w:tr w:rsidR="00DC634F" w:rsidRPr="0029652B" w:rsidTr="00E17EE3">
        <w:tc>
          <w:tcPr>
            <w:tcW w:w="6678" w:type="dxa"/>
          </w:tcPr>
          <w:p w:rsidR="00DC634F" w:rsidRPr="0029652B" w:rsidRDefault="00DC634F" w:rsidP="00C303D1">
            <w:pPr>
              <w:widowControl/>
              <w:suppressAutoHyphens w:val="0"/>
              <w:jc w:val="both"/>
            </w:pPr>
            <w:r w:rsidRPr="0029652B">
              <w:t>gross value added</w:t>
            </w:r>
          </w:p>
        </w:tc>
        <w:tc>
          <w:tcPr>
            <w:tcW w:w="1440" w:type="dxa"/>
          </w:tcPr>
          <w:p w:rsidR="00DC634F" w:rsidRPr="0029652B" w:rsidRDefault="00DC634F" w:rsidP="00C303D1">
            <w:pPr>
              <w:widowControl/>
              <w:suppressAutoHyphens w:val="0"/>
            </w:pPr>
            <w:r>
              <w:t>NIPA 1.14</w:t>
            </w:r>
          </w:p>
        </w:tc>
        <w:tc>
          <w:tcPr>
            <w:tcW w:w="1127" w:type="dxa"/>
          </w:tcPr>
          <w:p w:rsidR="00DC634F" w:rsidRPr="0029652B" w:rsidRDefault="00DC634F" w:rsidP="00C303D1">
            <w:pPr>
              <w:widowControl/>
              <w:tabs>
                <w:tab w:val="right" w:pos="522"/>
              </w:tabs>
              <w:suppressAutoHyphens w:val="0"/>
              <w:jc w:val="center"/>
            </w:pPr>
            <w:r>
              <w:t>17</w:t>
            </w:r>
          </w:p>
        </w:tc>
      </w:tr>
      <w:tr w:rsidR="00DC634F" w:rsidRPr="0029652B" w:rsidTr="00E17EE3">
        <w:tc>
          <w:tcPr>
            <w:tcW w:w="6678" w:type="dxa"/>
          </w:tcPr>
          <w:p w:rsidR="00DC634F" w:rsidRPr="0029652B" w:rsidRDefault="00DC634F" w:rsidP="00C303D1">
            <w:pPr>
              <w:widowControl/>
              <w:suppressAutoHyphens w:val="0"/>
              <w:jc w:val="both"/>
            </w:pPr>
            <w:r w:rsidRPr="0029652B">
              <w:t>i</w:t>
            </w:r>
            <w:r w:rsidRPr="0029652B">
              <w:rPr>
                <w:rFonts w:cs="Times New Roman"/>
              </w:rPr>
              <w:t>nterest</w:t>
            </w:r>
            <w:r w:rsidRPr="0029652B">
              <w:t xml:space="preserve"> payments, net (plus </w:t>
            </w:r>
            <w:r w:rsidRPr="0029652B">
              <w:rPr>
                <w:rFonts w:cs="Times New Roman"/>
              </w:rPr>
              <w:t>miscellaneous payments</w:t>
            </w:r>
            <w:r w:rsidRPr="0029652B">
              <w:t>)</w:t>
            </w:r>
          </w:p>
        </w:tc>
        <w:tc>
          <w:tcPr>
            <w:tcW w:w="1440" w:type="dxa"/>
          </w:tcPr>
          <w:p w:rsidR="00DC634F" w:rsidRPr="0029652B" w:rsidRDefault="00DC634F" w:rsidP="00C303D1">
            <w:pPr>
              <w:widowControl/>
              <w:suppressAutoHyphens w:val="0"/>
            </w:pPr>
            <w:r>
              <w:t>NIPA 1.14</w:t>
            </w:r>
          </w:p>
        </w:tc>
        <w:tc>
          <w:tcPr>
            <w:tcW w:w="1127" w:type="dxa"/>
          </w:tcPr>
          <w:p w:rsidR="00DC634F" w:rsidRPr="0029652B" w:rsidRDefault="00DC634F" w:rsidP="00C303D1">
            <w:pPr>
              <w:widowControl/>
              <w:tabs>
                <w:tab w:val="right" w:pos="522"/>
              </w:tabs>
              <w:suppressAutoHyphens w:val="0"/>
              <w:jc w:val="center"/>
            </w:pPr>
            <w:r>
              <w:t>25</w:t>
            </w:r>
          </w:p>
        </w:tc>
      </w:tr>
      <w:tr w:rsidR="00DC634F" w:rsidRPr="0029652B" w:rsidTr="00E17EE3">
        <w:tc>
          <w:tcPr>
            <w:tcW w:w="6678" w:type="dxa"/>
          </w:tcPr>
          <w:p w:rsidR="00DC634F" w:rsidRDefault="00DC634F" w:rsidP="00D813D6">
            <w:pPr>
              <w:widowControl/>
              <w:suppressAutoHyphens w:val="0"/>
              <w:jc w:val="both"/>
            </w:pPr>
            <w:r>
              <w:t>internal funds, U.S. (book value)</w:t>
            </w:r>
          </w:p>
        </w:tc>
        <w:tc>
          <w:tcPr>
            <w:tcW w:w="1440" w:type="dxa"/>
          </w:tcPr>
          <w:p w:rsidR="00DC634F" w:rsidRDefault="00DC634F" w:rsidP="00D813D6">
            <w:pPr>
              <w:widowControl/>
              <w:suppressAutoHyphens w:val="0"/>
              <w:rPr>
                <w:color w:val="000000"/>
              </w:rPr>
            </w:pPr>
            <w:r>
              <w:rPr>
                <w:color w:val="000000"/>
              </w:rPr>
              <w:t>FoFA F.102</w:t>
            </w:r>
          </w:p>
        </w:tc>
        <w:tc>
          <w:tcPr>
            <w:tcW w:w="1127" w:type="dxa"/>
          </w:tcPr>
          <w:p w:rsidR="00DC634F" w:rsidRDefault="00DC634F" w:rsidP="00C303D1">
            <w:pPr>
              <w:widowControl/>
              <w:tabs>
                <w:tab w:val="right" w:pos="522"/>
              </w:tabs>
              <w:suppressAutoHyphens w:val="0"/>
              <w:jc w:val="center"/>
              <w:rPr>
                <w:color w:val="000000"/>
              </w:rPr>
            </w:pPr>
            <w:r>
              <w:rPr>
                <w:color w:val="000000"/>
              </w:rPr>
              <w:t xml:space="preserve">  5</w:t>
            </w:r>
          </w:p>
        </w:tc>
      </w:tr>
      <w:tr w:rsidR="00DC634F" w:rsidRPr="0029652B" w:rsidTr="00E17EE3">
        <w:tc>
          <w:tcPr>
            <w:tcW w:w="6678" w:type="dxa"/>
          </w:tcPr>
          <w:p w:rsidR="00DC634F" w:rsidRPr="0029652B" w:rsidRDefault="00DC634F" w:rsidP="00C303D1">
            <w:pPr>
              <w:widowControl/>
              <w:suppressAutoHyphens w:val="0"/>
              <w:jc w:val="both"/>
            </w:pPr>
            <w:r>
              <w:t>liabilities, net increase in</w:t>
            </w:r>
          </w:p>
        </w:tc>
        <w:tc>
          <w:tcPr>
            <w:tcW w:w="1440" w:type="dxa"/>
          </w:tcPr>
          <w:p w:rsidR="00DC634F" w:rsidRDefault="00DC634F" w:rsidP="00C303D1">
            <w:pPr>
              <w:widowControl/>
              <w:suppressAutoHyphens w:val="0"/>
              <w:rPr>
                <w:color w:val="000000"/>
              </w:rPr>
            </w:pPr>
            <w:r>
              <w:rPr>
                <w:color w:val="000000"/>
              </w:rPr>
              <w:t>FoFA F.102</w:t>
            </w:r>
          </w:p>
        </w:tc>
        <w:tc>
          <w:tcPr>
            <w:tcW w:w="1127" w:type="dxa"/>
          </w:tcPr>
          <w:p w:rsidR="00DC634F" w:rsidRDefault="00DC634F" w:rsidP="00C303D1">
            <w:pPr>
              <w:widowControl/>
              <w:tabs>
                <w:tab w:val="right" w:pos="522"/>
              </w:tabs>
              <w:suppressAutoHyphens w:val="0"/>
              <w:jc w:val="center"/>
            </w:pPr>
            <w:r>
              <w:rPr>
                <w:color w:val="000000"/>
              </w:rPr>
              <w:t>37</w:t>
            </w:r>
          </w:p>
        </w:tc>
      </w:tr>
      <w:tr w:rsidR="00DC634F" w:rsidRPr="0029652B" w:rsidTr="00E17EE3">
        <w:tc>
          <w:tcPr>
            <w:tcW w:w="6678" w:type="dxa"/>
          </w:tcPr>
          <w:p w:rsidR="00DC634F" w:rsidRPr="0029652B" w:rsidRDefault="00DC634F" w:rsidP="00C303D1">
            <w:pPr>
              <w:widowControl/>
              <w:suppressAutoHyphens w:val="0"/>
              <w:jc w:val="both"/>
            </w:pPr>
            <w:r w:rsidRPr="0029652B">
              <w:t>liabilities, total</w:t>
            </w:r>
          </w:p>
        </w:tc>
        <w:tc>
          <w:tcPr>
            <w:tcW w:w="1440" w:type="dxa"/>
          </w:tcPr>
          <w:p w:rsidR="00DC634F" w:rsidRPr="00532DB7" w:rsidRDefault="00DC634F" w:rsidP="00C303D1">
            <w:pPr>
              <w:widowControl/>
              <w:suppressAutoHyphens w:val="0"/>
              <w:rPr>
                <w:b/>
              </w:rPr>
            </w:pPr>
            <w:r>
              <w:rPr>
                <w:color w:val="000000"/>
              </w:rPr>
              <w:t>FoFA L.102</w:t>
            </w:r>
          </w:p>
        </w:tc>
        <w:tc>
          <w:tcPr>
            <w:tcW w:w="1127" w:type="dxa"/>
          </w:tcPr>
          <w:p w:rsidR="00DC634F" w:rsidRPr="0029652B" w:rsidRDefault="00DC634F" w:rsidP="00C303D1">
            <w:pPr>
              <w:widowControl/>
              <w:tabs>
                <w:tab w:val="right" w:pos="522"/>
              </w:tabs>
              <w:suppressAutoHyphens w:val="0"/>
              <w:jc w:val="center"/>
            </w:pPr>
            <w:r>
              <w:t>22</w:t>
            </w:r>
          </w:p>
        </w:tc>
      </w:tr>
      <w:tr w:rsidR="00DC634F" w:rsidRPr="0029652B" w:rsidTr="00E17EE3">
        <w:tc>
          <w:tcPr>
            <w:tcW w:w="6678" w:type="dxa"/>
          </w:tcPr>
          <w:p w:rsidR="00DC634F" w:rsidRPr="0029652B" w:rsidRDefault="00DC634F" w:rsidP="00C303D1">
            <w:pPr>
              <w:widowControl/>
              <w:suppressAutoHyphens w:val="0"/>
              <w:jc w:val="both"/>
              <w:rPr>
                <w:color w:val="000000"/>
              </w:rPr>
            </w:pPr>
            <w:r w:rsidRPr="0029652B">
              <w:rPr>
                <w:rFonts w:cs="Times New Roman"/>
                <w:color w:val="000000"/>
              </w:rPr>
              <w:t>taxes on corporate income</w:t>
            </w:r>
          </w:p>
        </w:tc>
        <w:tc>
          <w:tcPr>
            <w:tcW w:w="1440" w:type="dxa"/>
          </w:tcPr>
          <w:p w:rsidR="00DC634F" w:rsidRPr="0029652B" w:rsidRDefault="00DC634F" w:rsidP="00C303D1">
            <w:pPr>
              <w:widowControl/>
              <w:suppressAutoHyphens w:val="0"/>
              <w:rPr>
                <w:color w:val="000000"/>
              </w:rPr>
            </w:pPr>
            <w:r>
              <w:t>NIPA 1.14</w:t>
            </w:r>
          </w:p>
        </w:tc>
        <w:tc>
          <w:tcPr>
            <w:tcW w:w="1127" w:type="dxa"/>
          </w:tcPr>
          <w:p w:rsidR="00DC634F" w:rsidRPr="0029652B" w:rsidRDefault="00DC634F" w:rsidP="00C303D1">
            <w:pPr>
              <w:widowControl/>
              <w:tabs>
                <w:tab w:val="right" w:pos="522"/>
              </w:tabs>
              <w:suppressAutoHyphens w:val="0"/>
              <w:jc w:val="center"/>
              <w:rPr>
                <w:color w:val="000000"/>
              </w:rPr>
            </w:pPr>
            <w:r>
              <w:rPr>
                <w:color w:val="000000"/>
              </w:rPr>
              <w:t>28</w:t>
            </w:r>
          </w:p>
        </w:tc>
      </w:tr>
      <w:tr w:rsidR="00DC634F" w:rsidRPr="0029652B" w:rsidTr="00E17EE3">
        <w:tc>
          <w:tcPr>
            <w:tcW w:w="6678" w:type="dxa"/>
          </w:tcPr>
          <w:p w:rsidR="00DC634F" w:rsidRPr="0029652B" w:rsidRDefault="00DC634F" w:rsidP="00C303D1">
            <w:pPr>
              <w:widowControl/>
              <w:suppressAutoHyphens w:val="0"/>
              <w:jc w:val="both"/>
              <w:rPr>
                <w:color w:val="000000"/>
              </w:rPr>
            </w:pPr>
            <w:r w:rsidRPr="0029652B">
              <w:rPr>
                <w:rFonts w:cs="Times New Roman"/>
              </w:rPr>
              <w:t>taxes on production and imports less subsidies</w:t>
            </w:r>
          </w:p>
        </w:tc>
        <w:tc>
          <w:tcPr>
            <w:tcW w:w="1440" w:type="dxa"/>
          </w:tcPr>
          <w:p w:rsidR="00DC634F" w:rsidRPr="0029652B" w:rsidRDefault="00DC634F" w:rsidP="00C303D1">
            <w:pPr>
              <w:widowControl/>
              <w:suppressAutoHyphens w:val="0"/>
            </w:pPr>
            <w:r>
              <w:t>NIPA 1.14</w:t>
            </w:r>
          </w:p>
        </w:tc>
        <w:tc>
          <w:tcPr>
            <w:tcW w:w="1127" w:type="dxa"/>
          </w:tcPr>
          <w:p w:rsidR="00DC634F" w:rsidRPr="0029652B" w:rsidRDefault="00DC634F" w:rsidP="00C303D1">
            <w:pPr>
              <w:widowControl/>
              <w:tabs>
                <w:tab w:val="right" w:pos="522"/>
              </w:tabs>
              <w:suppressAutoHyphens w:val="0"/>
              <w:jc w:val="center"/>
            </w:pPr>
            <w:r>
              <w:t>23</w:t>
            </w:r>
          </w:p>
        </w:tc>
      </w:tr>
      <w:tr w:rsidR="00DC634F" w:rsidRPr="0029652B" w:rsidTr="00E17EE3">
        <w:tc>
          <w:tcPr>
            <w:tcW w:w="6678" w:type="dxa"/>
          </w:tcPr>
          <w:p w:rsidR="00DC634F" w:rsidRDefault="00DC634F" w:rsidP="00C303D1">
            <w:pPr>
              <w:widowControl/>
              <w:suppressAutoHyphens w:val="0"/>
              <w:jc w:val="both"/>
            </w:pPr>
          </w:p>
          <w:p w:rsidR="003B2B35" w:rsidRPr="0029652B" w:rsidRDefault="003B2B35" w:rsidP="00C303D1">
            <w:pPr>
              <w:widowControl/>
              <w:suppressAutoHyphens w:val="0"/>
              <w:jc w:val="both"/>
            </w:pPr>
          </w:p>
        </w:tc>
        <w:tc>
          <w:tcPr>
            <w:tcW w:w="1440" w:type="dxa"/>
          </w:tcPr>
          <w:p w:rsidR="00DC634F" w:rsidRDefault="00DC634F" w:rsidP="00C303D1">
            <w:pPr>
              <w:widowControl/>
              <w:suppressAutoHyphens w:val="0"/>
            </w:pPr>
          </w:p>
        </w:tc>
        <w:tc>
          <w:tcPr>
            <w:tcW w:w="1127" w:type="dxa"/>
          </w:tcPr>
          <w:p w:rsidR="00DC634F" w:rsidRDefault="00DC634F" w:rsidP="00C303D1">
            <w:pPr>
              <w:widowControl/>
              <w:suppressAutoHyphens w:val="0"/>
              <w:jc w:val="center"/>
            </w:pPr>
          </w:p>
        </w:tc>
      </w:tr>
      <w:tr w:rsidR="00DC634F" w:rsidRPr="0029652B" w:rsidTr="00E17EE3">
        <w:tc>
          <w:tcPr>
            <w:tcW w:w="9245" w:type="dxa"/>
            <w:gridSpan w:val="3"/>
          </w:tcPr>
          <w:p w:rsidR="00DC634F" w:rsidRPr="00532DB7" w:rsidRDefault="00DC634F" w:rsidP="00C303D1">
            <w:pPr>
              <w:widowControl/>
              <w:suppressAutoHyphens w:val="0"/>
              <w:jc w:val="center"/>
              <w:rPr>
                <w:b/>
              </w:rPr>
            </w:pPr>
            <w:r w:rsidRPr="00532DB7">
              <w:rPr>
                <w:b/>
              </w:rPr>
              <w:t>Other</w:t>
            </w:r>
          </w:p>
        </w:tc>
      </w:tr>
      <w:tr w:rsidR="00DC634F" w:rsidRPr="0029652B" w:rsidTr="00E17EE3">
        <w:tc>
          <w:tcPr>
            <w:tcW w:w="6678" w:type="dxa"/>
          </w:tcPr>
          <w:p w:rsidR="00DC634F" w:rsidRPr="0029652B" w:rsidRDefault="00DC634F" w:rsidP="00C303D1">
            <w:pPr>
              <w:widowControl/>
              <w:suppressAutoHyphens w:val="0"/>
              <w:jc w:val="both"/>
            </w:pPr>
            <w:r>
              <w:t>gross domestic product</w:t>
            </w:r>
          </w:p>
        </w:tc>
        <w:tc>
          <w:tcPr>
            <w:tcW w:w="1440" w:type="dxa"/>
          </w:tcPr>
          <w:p w:rsidR="00DC634F" w:rsidRDefault="00DC634F" w:rsidP="00C303D1">
            <w:pPr>
              <w:widowControl/>
              <w:suppressAutoHyphens w:val="0"/>
            </w:pPr>
            <w:r>
              <w:t>NIPA 1.1.5</w:t>
            </w:r>
          </w:p>
        </w:tc>
        <w:tc>
          <w:tcPr>
            <w:tcW w:w="1127" w:type="dxa"/>
          </w:tcPr>
          <w:p w:rsidR="00DC634F" w:rsidRDefault="00DC634F" w:rsidP="00C303D1">
            <w:pPr>
              <w:widowControl/>
              <w:suppressAutoHyphens w:val="0"/>
              <w:jc w:val="center"/>
            </w:pPr>
            <w:r>
              <w:t xml:space="preserve">  1</w:t>
            </w:r>
          </w:p>
        </w:tc>
      </w:tr>
      <w:tr w:rsidR="00DC634F" w:rsidRPr="0029652B" w:rsidTr="00E17EE3">
        <w:tc>
          <w:tcPr>
            <w:tcW w:w="6678" w:type="dxa"/>
          </w:tcPr>
          <w:p w:rsidR="00DC634F" w:rsidRPr="0029652B" w:rsidRDefault="00DC634F" w:rsidP="00C303D1">
            <w:pPr>
              <w:widowControl/>
              <w:suppressAutoHyphens w:val="0"/>
              <w:jc w:val="both"/>
            </w:pPr>
          </w:p>
        </w:tc>
        <w:tc>
          <w:tcPr>
            <w:tcW w:w="1440" w:type="dxa"/>
          </w:tcPr>
          <w:p w:rsidR="00DC634F" w:rsidRDefault="00DC634F" w:rsidP="00C303D1">
            <w:pPr>
              <w:widowControl/>
              <w:suppressAutoHyphens w:val="0"/>
            </w:pPr>
          </w:p>
        </w:tc>
        <w:tc>
          <w:tcPr>
            <w:tcW w:w="1127" w:type="dxa"/>
          </w:tcPr>
          <w:p w:rsidR="00DC634F" w:rsidRDefault="00DC634F" w:rsidP="00C303D1">
            <w:pPr>
              <w:widowControl/>
              <w:suppressAutoHyphens w:val="0"/>
              <w:jc w:val="center"/>
            </w:pPr>
          </w:p>
        </w:tc>
      </w:tr>
    </w:tbl>
    <w:p w:rsidR="00E17EE3" w:rsidRDefault="00E17EE3" w:rsidP="00C303D1">
      <w:pPr>
        <w:widowControl/>
        <w:suppressAutoHyphens w:val="0"/>
        <w:spacing w:line="480" w:lineRule="auto"/>
        <w:jc w:val="both"/>
        <w:rPr>
          <w:color w:val="000000"/>
        </w:rPr>
      </w:pPr>
    </w:p>
    <w:p w:rsidR="001A0904" w:rsidRDefault="001A0904" w:rsidP="00C303D1">
      <w:pPr>
        <w:widowControl/>
        <w:suppressAutoHyphens w:val="0"/>
        <w:autoSpaceDE w:val="0"/>
        <w:autoSpaceDN w:val="0"/>
        <w:adjustRightInd w:val="0"/>
        <w:spacing w:line="480" w:lineRule="auto"/>
      </w:pPr>
    </w:p>
    <w:p w:rsidR="001A0904" w:rsidRDefault="001A0904" w:rsidP="00C303D1">
      <w:pPr>
        <w:widowControl/>
        <w:suppressAutoHyphens w:val="0"/>
        <w:autoSpaceDE w:val="0"/>
        <w:autoSpaceDN w:val="0"/>
        <w:adjustRightInd w:val="0"/>
        <w:spacing w:line="480" w:lineRule="auto"/>
      </w:pPr>
    </w:p>
    <w:p w:rsidR="001A0904" w:rsidRDefault="001A0904" w:rsidP="00C303D1">
      <w:pPr>
        <w:widowControl/>
        <w:suppressAutoHyphens w:val="0"/>
        <w:autoSpaceDE w:val="0"/>
        <w:autoSpaceDN w:val="0"/>
        <w:adjustRightInd w:val="0"/>
        <w:spacing w:line="480" w:lineRule="auto"/>
      </w:pPr>
    </w:p>
    <w:sectPr w:rsidR="001A0904" w:rsidSect="003441C7">
      <w:footerReference w:type="defaul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97" w:rsidRDefault="00486B97">
      <w:r>
        <w:separator/>
      </w:r>
    </w:p>
  </w:endnote>
  <w:endnote w:type="continuationSeparator" w:id="0">
    <w:p w:rsidR="00486B97" w:rsidRDefault="0048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70" w:rsidRDefault="00625A70">
    <w:pPr>
      <w:pStyle w:val="Footer"/>
      <w:jc w:val="center"/>
    </w:pPr>
  </w:p>
  <w:p w:rsidR="00625A70" w:rsidRDefault="00625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70" w:rsidRDefault="00625A70">
    <w:pPr>
      <w:pStyle w:val="Footer"/>
      <w:jc w:val="center"/>
    </w:pPr>
  </w:p>
  <w:p w:rsidR="00625A70" w:rsidRDefault="00625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301357"/>
      <w:docPartObj>
        <w:docPartGallery w:val="Page Numbers (Bottom of Page)"/>
        <w:docPartUnique/>
      </w:docPartObj>
    </w:sdtPr>
    <w:sdtEndPr>
      <w:rPr>
        <w:noProof/>
      </w:rPr>
    </w:sdtEndPr>
    <w:sdtContent>
      <w:p w:rsidR="00625A70" w:rsidRDefault="00625A70">
        <w:pPr>
          <w:pStyle w:val="Footer"/>
          <w:jc w:val="center"/>
        </w:pPr>
        <w:r>
          <w:fldChar w:fldCharType="begin"/>
        </w:r>
        <w:r>
          <w:instrText xml:space="preserve"> PAGE   \* MERGEFORMAT </w:instrText>
        </w:r>
        <w:r>
          <w:fldChar w:fldCharType="separate"/>
        </w:r>
        <w:r w:rsidR="00DE6959">
          <w:rPr>
            <w:noProof/>
          </w:rPr>
          <w:t>19</w:t>
        </w:r>
        <w:r>
          <w:rPr>
            <w:noProof/>
          </w:rPr>
          <w:fldChar w:fldCharType="end"/>
        </w:r>
      </w:p>
    </w:sdtContent>
  </w:sdt>
  <w:p w:rsidR="00625A70" w:rsidRDefault="0062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97" w:rsidRDefault="00486B97">
      <w:r>
        <w:separator/>
      </w:r>
    </w:p>
  </w:footnote>
  <w:footnote w:type="continuationSeparator" w:id="0">
    <w:p w:rsidR="00486B97" w:rsidRDefault="00486B97">
      <w:r>
        <w:continuationSeparator/>
      </w:r>
    </w:p>
  </w:footnote>
  <w:footnote w:id="1">
    <w:p w:rsidR="00625A70" w:rsidRPr="005957E2" w:rsidRDefault="00625A70" w:rsidP="00695CAE">
      <w:pPr>
        <w:pStyle w:val="FootnoteText"/>
        <w:spacing w:line="480" w:lineRule="auto"/>
        <w:ind w:left="0" w:firstLine="0"/>
        <w:rPr>
          <w:sz w:val="24"/>
          <w:szCs w:val="24"/>
        </w:rPr>
      </w:pPr>
      <w:r w:rsidRPr="005957E2">
        <w:rPr>
          <w:rStyle w:val="FootnoteReference"/>
          <w:sz w:val="24"/>
          <w:szCs w:val="24"/>
        </w:rPr>
        <w:footnoteRef/>
      </w:r>
      <w:r w:rsidRPr="005957E2">
        <w:rPr>
          <w:sz w:val="24"/>
          <w:szCs w:val="24"/>
        </w:rPr>
        <w:t xml:space="preserve"> Here and below, we use the colloquial term “borrowing” to refer to what is technically known as “dissaving.” Dissaving occurs when one uses existing savings (wealth) to fund an expenditure, whether one uses one’s own savings or whether one borrows others’ savings.</w:t>
      </w:r>
    </w:p>
  </w:footnote>
  <w:footnote w:id="2">
    <w:p w:rsidR="00625A70" w:rsidRPr="00532DB7" w:rsidRDefault="00625A70" w:rsidP="00701D17">
      <w:pPr>
        <w:pStyle w:val="FootnoteText"/>
        <w:keepNext/>
        <w:widowControl/>
        <w:spacing w:line="480" w:lineRule="auto"/>
        <w:ind w:left="0" w:firstLine="0"/>
        <w:rPr>
          <w:sz w:val="24"/>
          <w:szCs w:val="24"/>
        </w:rPr>
      </w:pPr>
      <w:r w:rsidRPr="00532DB7">
        <w:rPr>
          <w:rStyle w:val="FootnoteReference"/>
          <w:sz w:val="24"/>
          <w:szCs w:val="24"/>
        </w:rPr>
        <w:footnoteRef/>
      </w:r>
      <w:r w:rsidRPr="00532DB7">
        <w:rPr>
          <w:sz w:val="24"/>
          <w:szCs w:val="24"/>
        </w:rPr>
        <w:t xml:space="preserve"> As we also discuss in section </w:t>
      </w:r>
      <w:r w:rsidR="002D056E">
        <w:rPr>
          <w:sz w:val="24"/>
          <w:szCs w:val="24"/>
        </w:rPr>
        <w:t>4</w:t>
      </w:r>
      <w:r w:rsidRPr="00532DB7">
        <w:rPr>
          <w:sz w:val="24"/>
          <w:szCs w:val="24"/>
        </w:rPr>
        <w:t xml:space="preserve">, the post-2001 decline in the investment share was temporary; productive investment increased much more rapidly than did profit after 2004.  </w:t>
      </w:r>
    </w:p>
  </w:footnote>
  <w:footnote w:id="3">
    <w:p w:rsidR="00625A70" w:rsidRPr="002C651F" w:rsidRDefault="00625A70" w:rsidP="00763965">
      <w:pPr>
        <w:pStyle w:val="FootnoteText"/>
        <w:spacing w:line="480" w:lineRule="auto"/>
        <w:ind w:left="0" w:firstLine="0"/>
        <w:rPr>
          <w:sz w:val="24"/>
          <w:szCs w:val="24"/>
        </w:rPr>
      </w:pPr>
      <w:r w:rsidRPr="002C651F">
        <w:rPr>
          <w:rStyle w:val="FootnoteCharacters"/>
          <w:sz w:val="24"/>
          <w:szCs w:val="24"/>
        </w:rPr>
        <w:footnoteRef/>
      </w:r>
      <w:r w:rsidRPr="002C651F">
        <w:rPr>
          <w:sz w:val="24"/>
          <w:szCs w:val="24"/>
        </w:rPr>
        <w:t xml:space="preserve"> “Financial payments” or alternatively “financial payouts,” refers to corporations’ payments of dividends and interest, as well as stock repurchases.</w:t>
      </w:r>
    </w:p>
  </w:footnote>
  <w:footnote w:id="4">
    <w:p w:rsidR="00625A70" w:rsidRPr="002C651F" w:rsidRDefault="00625A70" w:rsidP="00763965">
      <w:pPr>
        <w:pStyle w:val="FootnoteText"/>
        <w:spacing w:line="480" w:lineRule="auto"/>
        <w:ind w:left="0" w:firstLine="0"/>
        <w:rPr>
          <w:sz w:val="24"/>
          <w:szCs w:val="24"/>
        </w:rPr>
      </w:pPr>
      <w:r w:rsidRPr="002C651F">
        <w:rPr>
          <w:rStyle w:val="FootnoteReference"/>
          <w:sz w:val="24"/>
          <w:szCs w:val="24"/>
        </w:rPr>
        <w:footnoteRef/>
      </w:r>
      <w:r w:rsidRPr="002C651F">
        <w:rPr>
          <w:sz w:val="24"/>
          <w:szCs w:val="24"/>
        </w:rPr>
        <w:t xml:space="preserve"> For </w:t>
      </w:r>
      <w:r w:rsidRPr="002C651F">
        <w:rPr>
          <w:color w:val="000000"/>
          <w:sz w:val="24"/>
          <w:szCs w:val="24"/>
        </w:rPr>
        <w:t>Duménil and Lévy, “retained profit” is equal to after-tax profit minus interest and dividend payments.</w:t>
      </w:r>
    </w:p>
  </w:footnote>
  <w:footnote w:id="5">
    <w:p w:rsidR="00625A70" w:rsidRPr="007F16AE" w:rsidRDefault="00625A70" w:rsidP="007F16AE">
      <w:pPr>
        <w:pStyle w:val="FootnoteText"/>
        <w:spacing w:line="480" w:lineRule="auto"/>
        <w:ind w:left="0" w:firstLine="0"/>
        <w:rPr>
          <w:sz w:val="24"/>
          <w:szCs w:val="24"/>
        </w:rPr>
      </w:pPr>
      <w:r w:rsidRPr="007F16AE">
        <w:rPr>
          <w:rStyle w:val="FootnoteReference"/>
          <w:sz w:val="24"/>
          <w:szCs w:val="24"/>
        </w:rPr>
        <w:footnoteRef/>
      </w:r>
      <w:r w:rsidRPr="007F16AE">
        <w:rPr>
          <w:sz w:val="24"/>
          <w:szCs w:val="24"/>
        </w:rPr>
        <w:t xml:space="preserve"> We attempted to replicate his aggregate-level regression results (Orhangazi 2008, p. 103, model II in Table 6.1), but were unable to do so, In particular, while Orhangazi reported that financial payments had a negative effect on investment that was statistically significant at the 10 percent level, we found that the effect was positive </w:t>
      </w:r>
      <w:r>
        <w:rPr>
          <w:sz w:val="24"/>
          <w:szCs w:val="24"/>
        </w:rPr>
        <w:t>(</w:t>
      </w:r>
      <w:r w:rsidRPr="007F16AE">
        <w:rPr>
          <w:sz w:val="24"/>
          <w:szCs w:val="24"/>
        </w:rPr>
        <w:t>but significant only at the 15 percent level</w:t>
      </w:r>
      <w:r>
        <w:rPr>
          <w:sz w:val="24"/>
          <w:szCs w:val="24"/>
        </w:rPr>
        <w:t>)</w:t>
      </w:r>
      <w:r w:rsidRPr="007F16AE">
        <w:rPr>
          <w:sz w:val="24"/>
          <w:szCs w:val="24"/>
        </w:rPr>
        <w:t xml:space="preserve">. The differences between his results and ours seem to be due, at least in part, to substantial discrepancies between the values we obtained for most of the regression variables and the values he reported by means of time-series plots (Orhangazi 2008, pp. 114–6). </w:t>
      </w:r>
      <w:r>
        <w:rPr>
          <w:sz w:val="24"/>
          <w:szCs w:val="24"/>
        </w:rPr>
        <w:t>I</w:t>
      </w:r>
      <w:r w:rsidRPr="00532DB7">
        <w:rPr>
          <w:sz w:val="24"/>
          <w:szCs w:val="24"/>
        </w:rPr>
        <w:t>ncorrect guesses on our part about Orhanga</w:t>
      </w:r>
      <w:r>
        <w:rPr>
          <w:sz w:val="24"/>
          <w:szCs w:val="24"/>
        </w:rPr>
        <w:t xml:space="preserve">zi’s </w:t>
      </w:r>
      <w:r w:rsidRPr="00532DB7">
        <w:rPr>
          <w:sz w:val="24"/>
          <w:szCs w:val="24"/>
        </w:rPr>
        <w:t xml:space="preserve">procedures and data sources </w:t>
      </w:r>
      <w:r>
        <w:rPr>
          <w:sz w:val="24"/>
          <w:szCs w:val="24"/>
        </w:rPr>
        <w:t>may explain s</w:t>
      </w:r>
      <w:r w:rsidRPr="007F16AE">
        <w:rPr>
          <w:sz w:val="24"/>
          <w:szCs w:val="24"/>
        </w:rPr>
        <w:t xml:space="preserve">ome of these discrepancies. However, we cannot account for </w:t>
      </w:r>
      <w:r>
        <w:rPr>
          <w:sz w:val="24"/>
          <w:szCs w:val="24"/>
        </w:rPr>
        <w:t xml:space="preserve">the fact that one of his graphs indicates that </w:t>
      </w:r>
      <w:r w:rsidRPr="007F16AE">
        <w:rPr>
          <w:sz w:val="24"/>
          <w:szCs w:val="24"/>
        </w:rPr>
        <w:t xml:space="preserve">the ratio of gross value added to the capital stock rose almost every year between 1961 and 2004, while we found that it trended sharply downward after the mid-1960s. We have written to Orhangazi in an attempt to reconcile the two sets of results and </w:t>
      </w:r>
      <w:r>
        <w:rPr>
          <w:sz w:val="24"/>
          <w:szCs w:val="24"/>
        </w:rPr>
        <w:t xml:space="preserve">we </w:t>
      </w:r>
      <w:r w:rsidRPr="007F16AE">
        <w:rPr>
          <w:sz w:val="24"/>
          <w:szCs w:val="24"/>
        </w:rPr>
        <w:t>are awaiting his reply.</w:t>
      </w:r>
    </w:p>
  </w:footnote>
  <w:footnote w:id="6">
    <w:p w:rsidR="00625A70" w:rsidRPr="00D84948" w:rsidRDefault="00625A70" w:rsidP="00D84948">
      <w:pPr>
        <w:pStyle w:val="FootnoteText"/>
        <w:spacing w:line="480" w:lineRule="auto"/>
        <w:ind w:left="0" w:firstLine="0"/>
        <w:rPr>
          <w:sz w:val="24"/>
          <w:szCs w:val="24"/>
        </w:rPr>
      </w:pPr>
      <w:r w:rsidRPr="00D84948">
        <w:rPr>
          <w:rStyle w:val="FootnoteReference"/>
          <w:sz w:val="24"/>
          <w:szCs w:val="24"/>
        </w:rPr>
        <w:footnoteRef/>
      </w:r>
      <w:r w:rsidRPr="00D84948">
        <w:rPr>
          <w:sz w:val="24"/>
          <w:szCs w:val="24"/>
        </w:rPr>
        <w:t xml:space="preserve"> In section 2, we will show that a much smaller share of U.S. nonfinancial corporations’ financial payments and purchases was funded out of profit between 1968 and 2007 than between 1947 and 1967. A much larger share was therefore funded by means of additional borrowing.</w:t>
      </w:r>
    </w:p>
  </w:footnote>
  <w:footnote w:id="7">
    <w:p w:rsidR="00625A70" w:rsidRPr="004A6F82" w:rsidRDefault="00625A70" w:rsidP="00FD4518">
      <w:pPr>
        <w:spacing w:line="480" w:lineRule="auto"/>
      </w:pPr>
      <w:r>
        <w:rPr>
          <w:rStyle w:val="FootnoteReference"/>
        </w:rPr>
        <w:footnoteRef/>
      </w:r>
      <w:r>
        <w:t xml:space="preserve"> </w:t>
      </w:r>
      <w:r w:rsidRPr="00532DB7">
        <w:rPr>
          <w:rFonts w:cs="Times New Roman"/>
          <w:color w:val="000000"/>
        </w:rPr>
        <w:t xml:space="preserve">This equivalence follows from the fact that productive investment + financial purchases and </w:t>
      </w:r>
      <w:r w:rsidRPr="004A6F82">
        <w:rPr>
          <w:rFonts w:cs="Times New Roman"/>
          <w:color w:val="000000"/>
        </w:rPr>
        <w:t>payments =  profit + borrowing, together with the fact that the sum of the changes in the left-hand side terms equals the sum of changes in the right-hand side terms.</w:t>
      </w:r>
    </w:p>
  </w:footnote>
  <w:footnote w:id="8">
    <w:p w:rsidR="00625A70" w:rsidRPr="00532DB7" w:rsidRDefault="00625A70" w:rsidP="006B4C3B">
      <w:pPr>
        <w:pStyle w:val="FootnoteText"/>
        <w:spacing w:line="480" w:lineRule="auto"/>
        <w:ind w:left="0" w:hanging="13"/>
        <w:rPr>
          <w:sz w:val="24"/>
          <w:szCs w:val="24"/>
        </w:rPr>
      </w:pPr>
      <w:r w:rsidRPr="00532DB7">
        <w:rPr>
          <w:rStyle w:val="FootnoteReference"/>
          <w:sz w:val="24"/>
          <w:szCs w:val="24"/>
        </w:rPr>
        <w:footnoteRef/>
      </w:r>
      <w:r w:rsidRPr="00532DB7">
        <w:rPr>
          <w:sz w:val="24"/>
          <w:szCs w:val="24"/>
        </w:rPr>
        <w:t xml:space="preserve"> Roughly speaking, </w:t>
      </w:r>
      <w:r>
        <w:rPr>
          <w:sz w:val="24"/>
          <w:szCs w:val="24"/>
        </w:rPr>
        <w:t xml:space="preserve">as used in the </w:t>
      </w:r>
      <w:r w:rsidRPr="00532DB7">
        <w:rPr>
          <w:i/>
          <w:sz w:val="24"/>
          <w:szCs w:val="24"/>
        </w:rPr>
        <w:t>Flow of Funds Accounts</w:t>
      </w:r>
      <w:r>
        <w:rPr>
          <w:sz w:val="24"/>
          <w:szCs w:val="24"/>
        </w:rPr>
        <w:t xml:space="preserve">, the term </w:t>
      </w:r>
      <w:r w:rsidRPr="00532DB7">
        <w:rPr>
          <w:sz w:val="24"/>
          <w:szCs w:val="24"/>
        </w:rPr>
        <w:t>“internal funds” are profits ret</w:t>
      </w:r>
      <w:r>
        <w:rPr>
          <w:sz w:val="24"/>
          <w:szCs w:val="24"/>
        </w:rPr>
        <w:t>ain</w:t>
      </w:r>
      <w:r w:rsidRPr="00532DB7">
        <w:rPr>
          <w:sz w:val="24"/>
          <w:szCs w:val="24"/>
        </w:rPr>
        <w:t>ed after paying income tax and dividends</w:t>
      </w:r>
      <w:r>
        <w:rPr>
          <w:sz w:val="24"/>
          <w:szCs w:val="24"/>
        </w:rPr>
        <w:t xml:space="preserve"> but before depreciation charges</w:t>
      </w:r>
      <w:r w:rsidRPr="00532DB7">
        <w:rPr>
          <w:sz w:val="24"/>
          <w:szCs w:val="24"/>
        </w:rPr>
        <w:t>.</w:t>
      </w:r>
    </w:p>
  </w:footnote>
  <w:footnote w:id="9">
    <w:p w:rsidR="00625A70" w:rsidRPr="00EC4F87" w:rsidRDefault="00625A70" w:rsidP="006B4C3B">
      <w:pPr>
        <w:pStyle w:val="BodyText"/>
        <w:spacing w:after="0" w:line="480" w:lineRule="auto"/>
      </w:pPr>
      <w:r w:rsidRPr="008848FD">
        <w:rPr>
          <w:rStyle w:val="FootnoteReference"/>
        </w:rPr>
        <w:footnoteRef/>
      </w:r>
      <w:r w:rsidRPr="008848FD">
        <w:t xml:space="preserve"> </w:t>
      </w:r>
      <w:r w:rsidRPr="005957E2">
        <w:t>This comparison is restricted to nonfinancial corporations because financial assets play larger and different roles in the operations of financial corporations. Between 1947 and 2007, financial corporations’ share of the corporate sector’s financial assets rose very modestly, from 80% to 82%––which implies that financial and nonfinancial corporations’ financial assets grew at almost the same rate. In contrast, financial corporations’ shares of output (gross value added) and accumulated investment in fixed assets are much smaller, but they rose much more rapidly, from 4% and 3%, respectively, in 1947, to 13% in 2007.</w:t>
      </w:r>
    </w:p>
  </w:footnote>
  <w:footnote w:id="10">
    <w:p w:rsidR="002D056E" w:rsidRPr="005957E2" w:rsidRDefault="002D056E" w:rsidP="002D056E">
      <w:pPr>
        <w:pStyle w:val="FootnoteText"/>
        <w:spacing w:line="480" w:lineRule="auto"/>
        <w:ind w:left="0" w:firstLine="0"/>
        <w:rPr>
          <w:sz w:val="24"/>
          <w:szCs w:val="24"/>
        </w:rPr>
      </w:pPr>
      <w:r w:rsidRPr="005957E2">
        <w:rPr>
          <w:rStyle w:val="FootnoteReference"/>
          <w:sz w:val="24"/>
          <w:szCs w:val="24"/>
        </w:rPr>
        <w:footnoteRef/>
      </w:r>
      <w:r w:rsidRPr="005957E2">
        <w:rPr>
          <w:sz w:val="24"/>
          <w:szCs w:val="24"/>
        </w:rPr>
        <w:t xml:space="preserve"> On average, stock buybacks were 20%, 19%, and 37% of net operating surplus during these three periods. There were also large buybacks in 2008 and 2010, equal to 28% and 22% of net operating surplus. </w:t>
      </w:r>
    </w:p>
  </w:footnote>
  <w:footnote w:id="11">
    <w:p w:rsidR="00625A70" w:rsidRPr="002C651F" w:rsidRDefault="00625A70" w:rsidP="00A105FE">
      <w:pPr>
        <w:pStyle w:val="BodyText"/>
        <w:spacing w:after="0" w:line="480" w:lineRule="auto"/>
        <w:contextualSpacing/>
      </w:pPr>
      <w:r>
        <w:rPr>
          <w:rStyle w:val="FootnoteReference"/>
        </w:rPr>
        <w:footnoteRef/>
      </w:r>
      <w:r>
        <w:t xml:space="preserve"> </w:t>
      </w:r>
      <w:r w:rsidRPr="002C651F">
        <w:t>Krippner (2011</w:t>
      </w:r>
      <w:r>
        <w:t xml:space="preserve">, p. </w:t>
      </w:r>
      <w:r w:rsidRPr="002C651F">
        <w:t>9) provides a concise, yet detailed, summary of these developments. “Taken together,” she argues, “these changes had a profound effect on the behavior of firms, with the threat of takeover acting as a stick and stock option as a carrot to fulfill the imperative of financial markets</w:t>
      </w:r>
      <w:r>
        <w:t xml:space="preserve"> .</w:t>
      </w:r>
      <w:r w:rsidRPr="002C651F">
        <w:t>…</w:t>
      </w:r>
      <w:r>
        <w:t>”</w:t>
      </w:r>
      <w:r w:rsidRPr="002C651F">
        <w:t xml:space="preserve">   </w:t>
      </w:r>
    </w:p>
    <w:p w:rsidR="00625A70" w:rsidRDefault="00625A70">
      <w:pPr>
        <w:pStyle w:val="FootnoteText"/>
      </w:pPr>
    </w:p>
  </w:footnote>
  <w:footnote w:id="12">
    <w:p w:rsidR="00625A70" w:rsidRPr="000E234D" w:rsidRDefault="00625A70" w:rsidP="00C52483">
      <w:pPr>
        <w:pStyle w:val="FootnoteText"/>
        <w:widowControl/>
        <w:spacing w:line="480" w:lineRule="auto"/>
        <w:ind w:left="0" w:firstLine="0"/>
        <w:rPr>
          <w:sz w:val="24"/>
          <w:szCs w:val="24"/>
        </w:rPr>
      </w:pPr>
      <w:r w:rsidRPr="000E234D">
        <w:rPr>
          <w:rStyle w:val="FootnoteReference"/>
          <w:sz w:val="24"/>
          <w:szCs w:val="24"/>
        </w:rPr>
        <w:footnoteRef/>
      </w:r>
      <w:r w:rsidRPr="000E234D">
        <w:rPr>
          <w:sz w:val="24"/>
          <w:szCs w:val="24"/>
        </w:rPr>
        <w:t xml:space="preserve"> If there had been a perfect (dollar-for-dollar) tradeoff between dividend payments and productive investment, a 1 percentage-point rise in the investment share would have been associated, on average, with a 1 percentage-point fall in the dividend share. The slope coefficient, –0.004, implies that the actual average fall in the dividend share was only four one-thousandths as large.  </w:t>
      </w:r>
    </w:p>
  </w:footnote>
  <w:footnote w:id="13">
    <w:p w:rsidR="00625A70" w:rsidRDefault="00625A70" w:rsidP="006B4C3B">
      <w:pPr>
        <w:pStyle w:val="FootnoteText"/>
        <w:spacing w:line="480" w:lineRule="auto"/>
        <w:ind w:left="0" w:firstLine="0"/>
      </w:pPr>
      <w:r w:rsidRPr="00532DB7">
        <w:rPr>
          <w:rStyle w:val="FootnoteReference"/>
          <w:sz w:val="24"/>
          <w:szCs w:val="24"/>
        </w:rPr>
        <w:footnoteRef/>
      </w:r>
      <w:r w:rsidRPr="00532DB7">
        <w:rPr>
          <w:sz w:val="24"/>
          <w:szCs w:val="24"/>
        </w:rPr>
        <w:t xml:space="preserve"> When we consider only nonfinancial corporations, all results reported above for the dividend-investment relationship continue to  hold true, except that the regression line for the 1947-1988 period rises very slightly; the slope coefficient is +0.002. All results reported for the borrowing-investment relationship also continue to hold true, except that the slope coefficient for the 1989-2007 period is 1.21, or 1.12 when 2005 is excluded. These coefficients are also not statistically different from 1 </w:t>
      </w:r>
      <w:r w:rsidRPr="00624508">
        <w:rPr>
          <w:sz w:val="24"/>
          <w:szCs w:val="24"/>
        </w:rPr>
        <w:t>at normal levels of testing.</w:t>
      </w:r>
    </w:p>
  </w:footnote>
  <w:footnote w:id="14">
    <w:p w:rsidR="00625A70" w:rsidRPr="000E234D" w:rsidRDefault="00625A70" w:rsidP="00C52483">
      <w:pPr>
        <w:pStyle w:val="FootnoteText"/>
        <w:spacing w:line="480" w:lineRule="auto"/>
        <w:ind w:left="0" w:firstLine="0"/>
        <w:rPr>
          <w:sz w:val="24"/>
          <w:szCs w:val="24"/>
        </w:rPr>
      </w:pPr>
      <w:r w:rsidRPr="000E234D">
        <w:rPr>
          <w:rStyle w:val="FootnoteReference"/>
          <w:sz w:val="24"/>
          <w:szCs w:val="24"/>
        </w:rPr>
        <w:footnoteRef/>
      </w:r>
      <w:r w:rsidRPr="000E234D">
        <w:rPr>
          <w:sz w:val="24"/>
          <w:szCs w:val="24"/>
        </w:rPr>
        <w:t xml:space="preserve"> These comparisons disregard the behavior of the variables in the outlier year of 2005.</w:t>
      </w:r>
    </w:p>
  </w:footnote>
  <w:footnote w:id="15">
    <w:p w:rsidR="00625A70" w:rsidRPr="008848FD" w:rsidRDefault="00625A70" w:rsidP="00C52483">
      <w:pPr>
        <w:pStyle w:val="FootnoteText"/>
        <w:spacing w:line="480" w:lineRule="auto"/>
        <w:ind w:left="0" w:firstLine="0"/>
        <w:rPr>
          <w:rFonts w:cs="Times New Roman"/>
          <w:sz w:val="24"/>
          <w:szCs w:val="24"/>
        </w:rPr>
      </w:pPr>
      <w:r w:rsidRPr="00EC4F87">
        <w:rPr>
          <w:rStyle w:val="FootnoteReference"/>
          <w:rFonts w:cs="Times New Roman"/>
          <w:sz w:val="24"/>
          <w:szCs w:val="24"/>
        </w:rPr>
        <w:footnoteRef/>
      </w:r>
      <w:r w:rsidRPr="00EC4F87">
        <w:rPr>
          <w:rFonts w:cs="Times New Roman"/>
          <w:sz w:val="24"/>
          <w:szCs w:val="24"/>
        </w:rPr>
        <w:t xml:space="preserve"> Although Stockhammer (2009, p. 23) indicates that his investment data pertain to the private sector only</w:t>
      </w:r>
      <w:r w:rsidRPr="00A737A7">
        <w:rPr>
          <w:rFonts w:cs="Times New Roman"/>
          <w:sz w:val="24"/>
          <w:szCs w:val="24"/>
        </w:rPr>
        <w:t>, that is not the ca</w:t>
      </w:r>
      <w:r w:rsidRPr="008848FD">
        <w:rPr>
          <w:rFonts w:cs="Times New Roman"/>
          <w:sz w:val="24"/>
          <w:szCs w:val="24"/>
        </w:rPr>
        <w:t>se.</w:t>
      </w:r>
    </w:p>
  </w:footnote>
  <w:footnote w:id="16">
    <w:p w:rsidR="00625A70" w:rsidRPr="00E17EE3" w:rsidRDefault="00625A70" w:rsidP="00C52483">
      <w:pPr>
        <w:pStyle w:val="FootnoteText"/>
        <w:spacing w:line="480" w:lineRule="auto"/>
        <w:ind w:left="0" w:firstLine="0"/>
        <w:rPr>
          <w:sz w:val="24"/>
          <w:szCs w:val="24"/>
        </w:rPr>
      </w:pPr>
      <w:r w:rsidRPr="00E17EE3">
        <w:rPr>
          <w:rStyle w:val="FootnoteReference"/>
          <w:sz w:val="24"/>
          <w:szCs w:val="24"/>
        </w:rPr>
        <w:footnoteRef/>
      </w:r>
      <w:r w:rsidRPr="00E17EE3">
        <w:rPr>
          <w:sz w:val="24"/>
          <w:szCs w:val="24"/>
        </w:rPr>
        <w:t xml:space="preserve"> The variables are “Operating surplus and mixed income; gross” and “Gross fixed capital formation,” published in </w:t>
      </w:r>
      <w:r w:rsidRPr="00E17EE3">
        <w:rPr>
          <w:i/>
          <w:sz w:val="24"/>
          <w:szCs w:val="24"/>
        </w:rPr>
        <w:t>OECD.Stat Extracts</w:t>
      </w:r>
      <w:r w:rsidRPr="00E17EE3">
        <w:rPr>
          <w:sz w:val="24"/>
          <w:szCs w:val="24"/>
        </w:rPr>
        <w:t>, stats.oecd.org .</w:t>
      </w:r>
    </w:p>
  </w:footnote>
  <w:footnote w:id="17">
    <w:p w:rsidR="00647404" w:rsidRPr="00701D17" w:rsidRDefault="00647404" w:rsidP="00701D17">
      <w:pPr>
        <w:pStyle w:val="FootnoteText"/>
        <w:spacing w:line="480" w:lineRule="auto"/>
        <w:ind w:left="0" w:firstLine="0"/>
        <w:rPr>
          <w:sz w:val="24"/>
          <w:szCs w:val="24"/>
        </w:rPr>
      </w:pPr>
      <w:r w:rsidRPr="00701D17">
        <w:rPr>
          <w:rStyle w:val="FootnoteReference"/>
          <w:sz w:val="24"/>
          <w:szCs w:val="24"/>
        </w:rPr>
        <w:footnoteRef/>
      </w:r>
      <w:r w:rsidRPr="00701D17">
        <w:rPr>
          <w:sz w:val="24"/>
          <w:szCs w:val="24"/>
        </w:rPr>
        <w:t xml:space="preserve"> </w:t>
      </w:r>
      <w:r w:rsidR="002D056E" w:rsidRPr="00701D17">
        <w:rPr>
          <w:sz w:val="24"/>
          <w:szCs w:val="24"/>
        </w:rPr>
        <w:t xml:space="preserve">Since net investment equals gross investment minus depreciation, net investment falls, all else being equal, when depreciation rises as a share of gross investment, i.e., when </w:t>
      </w:r>
      <w:r w:rsidRPr="00701D17">
        <w:rPr>
          <w:sz w:val="24"/>
          <w:szCs w:val="24"/>
        </w:rPr>
        <w:t>a larger share of total investment</w:t>
      </w:r>
      <w:r w:rsidR="002D056E">
        <w:rPr>
          <w:sz w:val="24"/>
          <w:szCs w:val="24"/>
        </w:rPr>
        <w:t xml:space="preserve"> simply </w:t>
      </w:r>
      <w:r w:rsidRPr="00701D17">
        <w:rPr>
          <w:sz w:val="24"/>
          <w:szCs w:val="24"/>
        </w:rPr>
        <w:t>replac</w:t>
      </w:r>
      <w:r w:rsidR="002D056E" w:rsidRPr="002D056E">
        <w:rPr>
          <w:sz w:val="24"/>
          <w:szCs w:val="24"/>
        </w:rPr>
        <w:t>e</w:t>
      </w:r>
      <w:r w:rsidR="002D056E">
        <w:rPr>
          <w:sz w:val="24"/>
          <w:szCs w:val="24"/>
        </w:rPr>
        <w:t>s</w:t>
      </w:r>
      <w:r w:rsidR="002D056E" w:rsidRPr="002D056E">
        <w:rPr>
          <w:sz w:val="24"/>
          <w:szCs w:val="24"/>
        </w:rPr>
        <w:t xml:space="preserve"> the depreciation (loss in value) of existing fixed assets.</w:t>
      </w:r>
    </w:p>
  </w:footnote>
  <w:footnote w:id="18">
    <w:p w:rsidR="00625A70" w:rsidRDefault="00625A70" w:rsidP="00C52483">
      <w:pPr>
        <w:autoSpaceDE w:val="0"/>
        <w:autoSpaceDN w:val="0"/>
        <w:adjustRightInd w:val="0"/>
        <w:spacing w:line="480" w:lineRule="auto"/>
      </w:pPr>
      <w:r>
        <w:rPr>
          <w:rStyle w:val="FootnoteReference"/>
        </w:rPr>
        <w:footnoteRef/>
      </w:r>
      <w:r>
        <w:t xml:space="preserve"> </w:t>
      </w:r>
      <w:r w:rsidRPr="005906B5">
        <w:rPr>
          <w:rFonts w:cs="Times New Roman"/>
          <w:color w:val="231F20"/>
        </w:rPr>
        <w:t xml:space="preserve">Since the rate of accumulation is the ratio of net investment to advanced capital, and the rate of profit is the ratio of profit to advanced capital, </w:t>
      </w:r>
      <w:r>
        <w:rPr>
          <w:rFonts w:cs="Times New Roman"/>
          <w:color w:val="231F20"/>
        </w:rPr>
        <w:t xml:space="preserve">the former can fall while the latter rises only if the </w:t>
      </w:r>
      <w:r w:rsidRPr="005906B5">
        <w:rPr>
          <w:rFonts w:cs="Times New Roman"/>
          <w:color w:val="231F20"/>
        </w:rPr>
        <w:t>investment share</w:t>
      </w:r>
      <w:r>
        <w:rPr>
          <w:rFonts w:cs="Times New Roman"/>
          <w:color w:val="231F20"/>
        </w:rPr>
        <w:t xml:space="preserve"> falls. </w:t>
      </w:r>
    </w:p>
  </w:footnote>
  <w:footnote w:id="19">
    <w:p w:rsidR="00625A70" w:rsidRPr="008C0520" w:rsidRDefault="00625A70" w:rsidP="00C52483">
      <w:pPr>
        <w:autoSpaceDE w:val="0"/>
        <w:autoSpaceDN w:val="0"/>
        <w:adjustRightInd w:val="0"/>
        <w:spacing w:line="480" w:lineRule="auto"/>
        <w:rPr>
          <w:rFonts w:cs="Times New Roman"/>
        </w:rPr>
      </w:pPr>
      <w:r w:rsidRPr="008C0520">
        <w:rPr>
          <w:rStyle w:val="FootnoteReference"/>
          <w:rFonts w:cs="Times New Roman"/>
        </w:rPr>
        <w:footnoteRef/>
      </w:r>
      <w:r w:rsidRPr="008C0520">
        <w:rPr>
          <w:rFonts w:cs="Times New Roman"/>
        </w:rPr>
        <w:t xml:space="preserve"> </w:t>
      </w:r>
      <w:r w:rsidRPr="008C0520">
        <w:rPr>
          <w:rFonts w:eastAsia="Times New Roman" w:cs="Times New Roman"/>
        </w:rPr>
        <w:t xml:space="preserve">The before- and after-tax rates of return </w:t>
      </w:r>
      <w:r w:rsidRPr="008C0520">
        <w:rPr>
          <w:rFonts w:cs="Times New Roman"/>
          <w:color w:val="231F20"/>
        </w:rPr>
        <w:t xml:space="preserve">trend downward between 1981 and 2005, trend upward slightly when 2006 and 2007 are included, but again trend downward when 2008 is also included. </w:t>
      </w:r>
      <w:r w:rsidRPr="008C0520">
        <w:rPr>
          <w:rFonts w:cs="Times New Roman"/>
        </w:rPr>
        <w:t xml:space="preserve">The slope coefficients are as follows: property-income rate, </w:t>
      </w:r>
      <w:r>
        <w:rPr>
          <w:rFonts w:cs="Times New Roman"/>
        </w:rPr>
        <w:t>–</w:t>
      </w:r>
      <w:r w:rsidRPr="00044E64">
        <w:rPr>
          <w:rFonts w:eastAsia="Times New Roman" w:cs="Times New Roman"/>
        </w:rPr>
        <w:t>0.217%</w:t>
      </w:r>
      <w:r w:rsidRPr="008C0520">
        <w:rPr>
          <w:rFonts w:eastAsia="Times New Roman" w:cs="Times New Roman"/>
        </w:rPr>
        <w:t xml:space="preserve"> (</w:t>
      </w:r>
      <w:r w:rsidRPr="00B12D7B">
        <w:rPr>
          <w:rFonts w:eastAsia="Times New Roman" w:cs="Times New Roman"/>
          <w:i/>
        </w:rPr>
        <w:t>p</w:t>
      </w:r>
      <w:r w:rsidRPr="008C0520">
        <w:rPr>
          <w:rFonts w:eastAsia="Times New Roman" w:cs="Times New Roman"/>
        </w:rPr>
        <w:t xml:space="preserve"> = 0.001); net-operating-surplus rate, </w:t>
      </w:r>
      <w:r>
        <w:rPr>
          <w:rFonts w:eastAsia="Times New Roman" w:cs="Times New Roman"/>
        </w:rPr>
        <w:t>–</w:t>
      </w:r>
      <w:r w:rsidRPr="00044E64">
        <w:rPr>
          <w:rFonts w:eastAsia="Times New Roman" w:cs="Times New Roman"/>
        </w:rPr>
        <w:t>0.148%</w:t>
      </w:r>
      <w:r w:rsidRPr="008C0520">
        <w:rPr>
          <w:rFonts w:eastAsia="Times New Roman" w:cs="Times New Roman"/>
        </w:rPr>
        <w:t xml:space="preserve"> (</w:t>
      </w:r>
      <w:r w:rsidRPr="00B12D7B">
        <w:rPr>
          <w:rFonts w:eastAsia="Times New Roman" w:cs="Times New Roman"/>
          <w:i/>
        </w:rPr>
        <w:t>p</w:t>
      </w:r>
      <w:r w:rsidRPr="008C0520">
        <w:rPr>
          <w:rFonts w:eastAsia="Times New Roman" w:cs="Times New Roman"/>
        </w:rPr>
        <w:t xml:space="preserve"> = 0.009); before-tax-profit rate, </w:t>
      </w:r>
      <w:r w:rsidRPr="00044E64">
        <w:rPr>
          <w:rFonts w:eastAsia="Times New Roman" w:cs="Times New Roman"/>
        </w:rPr>
        <w:t>0.018%</w:t>
      </w:r>
      <w:r w:rsidRPr="008C0520">
        <w:rPr>
          <w:rFonts w:eastAsia="Times New Roman" w:cs="Times New Roman"/>
        </w:rPr>
        <w:t xml:space="preserve"> (</w:t>
      </w:r>
      <w:r w:rsidRPr="00B12D7B">
        <w:rPr>
          <w:rFonts w:eastAsia="Times New Roman" w:cs="Times New Roman"/>
          <w:i/>
        </w:rPr>
        <w:t>p</w:t>
      </w:r>
      <w:r w:rsidRPr="008C0520">
        <w:rPr>
          <w:rFonts w:eastAsia="Times New Roman" w:cs="Times New Roman"/>
        </w:rPr>
        <w:t xml:space="preserve"> = 0.74); and after-tax-profit rate, </w:t>
      </w:r>
      <w:r w:rsidRPr="00044E64">
        <w:rPr>
          <w:rFonts w:eastAsia="Times New Roman" w:cs="Times New Roman"/>
        </w:rPr>
        <w:t>0.006%</w:t>
      </w:r>
      <w:r w:rsidRPr="008C0520">
        <w:rPr>
          <w:rFonts w:eastAsia="Times New Roman" w:cs="Times New Roman"/>
        </w:rPr>
        <w:t xml:space="preserve"> (</w:t>
      </w:r>
      <w:r w:rsidRPr="00B12D7B">
        <w:rPr>
          <w:rFonts w:eastAsia="Times New Roman" w:cs="Times New Roman"/>
          <w:i/>
        </w:rPr>
        <w:t>p</w:t>
      </w:r>
      <w:r w:rsidRPr="008C0520">
        <w:rPr>
          <w:rFonts w:eastAsia="Times New Roman" w:cs="Times New Roman"/>
        </w:rPr>
        <w:t xml:space="preserve"> = 0.88). The </w:t>
      </w:r>
      <w:r w:rsidRPr="00B12D7B">
        <w:rPr>
          <w:rFonts w:eastAsia="Times New Roman" w:cs="Times New Roman"/>
          <w:i/>
        </w:rPr>
        <w:t>p</w:t>
      </w:r>
      <w:r w:rsidRPr="008C0520">
        <w:rPr>
          <w:rFonts w:eastAsia="Times New Roman" w:cs="Times New Roman"/>
        </w:rPr>
        <w:t xml:space="preserve">-values indicate that, if the “true” slope were zero, the probability that the observed slope coefficients would differ from zero by as much as these is less than 1% in the first two cases but 74% or more in the latter two. </w:t>
      </w:r>
    </w:p>
  </w:footnote>
  <w:footnote w:id="20">
    <w:p w:rsidR="00625A70" w:rsidRDefault="00625A70" w:rsidP="00370CED">
      <w:pPr>
        <w:pStyle w:val="FootnoteText"/>
        <w:widowControl/>
        <w:spacing w:line="480" w:lineRule="auto"/>
        <w:ind w:left="0" w:firstLine="0"/>
      </w:pPr>
      <w:r w:rsidRPr="008C0520">
        <w:rPr>
          <w:rStyle w:val="FootnoteReference"/>
          <w:rFonts w:cs="Times New Roman"/>
          <w:sz w:val="24"/>
          <w:szCs w:val="24"/>
        </w:rPr>
        <w:footnoteRef/>
      </w:r>
      <w:r w:rsidRPr="008C0520">
        <w:rPr>
          <w:rFonts w:cs="Times New Roman"/>
          <w:sz w:val="24"/>
          <w:szCs w:val="24"/>
        </w:rPr>
        <w:t xml:space="preserve"> The investment share rose </w:t>
      </w:r>
      <w:r w:rsidRPr="008C0520">
        <w:rPr>
          <w:rFonts w:cs="Times New Roman"/>
          <w:color w:val="231F20"/>
          <w:sz w:val="24"/>
          <w:szCs w:val="24"/>
        </w:rPr>
        <w:t>partly because of declines in the rate of profit that were at first not matched by comparable declines in investment, and partly because of accelerating inflation that boosted the prices of investment goods more rapidly than it tended to boost profit. Conversely, t</w:t>
      </w:r>
      <w:r w:rsidRPr="008C0520">
        <w:rPr>
          <w:rFonts w:cs="Times New Roman"/>
          <w:sz w:val="24"/>
          <w:szCs w:val="24"/>
        </w:rPr>
        <w:t>he immediate reasons why the investment share fell so sharply after 1981 were that inflation subsided and that investment did respond, after a lag, to the post-1978 fall in the rate of profit. However, the investment share would eventually have fallen even in the absence of these triggers, since corporations were investing more profit than they were receiving. This is why our account stresses</w:t>
      </w:r>
      <w:r>
        <w:rPr>
          <w:rFonts w:cs="Times New Roman"/>
          <w:sz w:val="24"/>
          <w:szCs w:val="24"/>
        </w:rPr>
        <w:t xml:space="preserve"> the </w:t>
      </w:r>
      <w:r w:rsidRPr="008C0520">
        <w:rPr>
          <w:rFonts w:cs="Times New Roman"/>
          <w:sz w:val="24"/>
          <w:szCs w:val="24"/>
        </w:rPr>
        <w:t>unsustainable level</w:t>
      </w:r>
      <w:r>
        <w:rPr>
          <w:rFonts w:cs="Times New Roman"/>
          <w:sz w:val="24"/>
          <w:szCs w:val="24"/>
        </w:rPr>
        <w:t xml:space="preserve"> that the investment share</w:t>
      </w:r>
      <w:r w:rsidRPr="008C0520">
        <w:rPr>
          <w:rFonts w:cs="Times New Roman"/>
          <w:sz w:val="24"/>
          <w:szCs w:val="24"/>
        </w:rPr>
        <w:t xml:space="preserve"> had reached rather than the factors that triggered the fall.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D170D38"/>
    <w:multiLevelType w:val="hybridMultilevel"/>
    <w:tmpl w:val="AA3E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3958F6"/>
    <w:multiLevelType w:val="hybridMultilevel"/>
    <w:tmpl w:val="F794ADD8"/>
    <w:lvl w:ilvl="0" w:tplc="C966C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C78F5"/>
    <w:multiLevelType w:val="hybridMultilevel"/>
    <w:tmpl w:val="F6E69E7E"/>
    <w:lvl w:ilvl="0" w:tplc="A58C82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7707B"/>
    <w:multiLevelType w:val="hybridMultilevel"/>
    <w:tmpl w:val="B7468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93"/>
    <w:rsid w:val="00011F33"/>
    <w:rsid w:val="00012DD1"/>
    <w:rsid w:val="00013BAC"/>
    <w:rsid w:val="00015FA1"/>
    <w:rsid w:val="0001757A"/>
    <w:rsid w:val="00026EF2"/>
    <w:rsid w:val="00050750"/>
    <w:rsid w:val="00054059"/>
    <w:rsid w:val="000809C7"/>
    <w:rsid w:val="0008422A"/>
    <w:rsid w:val="000C3195"/>
    <w:rsid w:val="000C74BF"/>
    <w:rsid w:val="000C77EB"/>
    <w:rsid w:val="000E043D"/>
    <w:rsid w:val="000E234D"/>
    <w:rsid w:val="000F5DFD"/>
    <w:rsid w:val="00113D43"/>
    <w:rsid w:val="0011578D"/>
    <w:rsid w:val="0013744C"/>
    <w:rsid w:val="00144FCF"/>
    <w:rsid w:val="00154F14"/>
    <w:rsid w:val="00157193"/>
    <w:rsid w:val="00167493"/>
    <w:rsid w:val="00173E3A"/>
    <w:rsid w:val="00177B79"/>
    <w:rsid w:val="00193E2F"/>
    <w:rsid w:val="001A0904"/>
    <w:rsid w:val="001C1152"/>
    <w:rsid w:val="001C4BE9"/>
    <w:rsid w:val="001D0E40"/>
    <w:rsid w:val="001F19B6"/>
    <w:rsid w:val="001F3961"/>
    <w:rsid w:val="00204F41"/>
    <w:rsid w:val="00207B42"/>
    <w:rsid w:val="002107F8"/>
    <w:rsid w:val="00213A26"/>
    <w:rsid w:val="00214711"/>
    <w:rsid w:val="00226268"/>
    <w:rsid w:val="002336D7"/>
    <w:rsid w:val="00256983"/>
    <w:rsid w:val="00271F8C"/>
    <w:rsid w:val="00272DEF"/>
    <w:rsid w:val="0028240E"/>
    <w:rsid w:val="002C651F"/>
    <w:rsid w:val="002C78C8"/>
    <w:rsid w:val="002D056E"/>
    <w:rsid w:val="002E329B"/>
    <w:rsid w:val="002E34C6"/>
    <w:rsid w:val="002F11B1"/>
    <w:rsid w:val="002F161B"/>
    <w:rsid w:val="003325F1"/>
    <w:rsid w:val="0033363C"/>
    <w:rsid w:val="003441C7"/>
    <w:rsid w:val="00364CE7"/>
    <w:rsid w:val="00370CED"/>
    <w:rsid w:val="00381637"/>
    <w:rsid w:val="00382CFB"/>
    <w:rsid w:val="003944C7"/>
    <w:rsid w:val="00396079"/>
    <w:rsid w:val="003A4A56"/>
    <w:rsid w:val="003B2B35"/>
    <w:rsid w:val="003E1F9D"/>
    <w:rsid w:val="003F027E"/>
    <w:rsid w:val="004364F9"/>
    <w:rsid w:val="00451E0C"/>
    <w:rsid w:val="00455679"/>
    <w:rsid w:val="00486B97"/>
    <w:rsid w:val="00495E2D"/>
    <w:rsid w:val="004A52A1"/>
    <w:rsid w:val="004A6F82"/>
    <w:rsid w:val="004B1A05"/>
    <w:rsid w:val="004B2FF2"/>
    <w:rsid w:val="004C3393"/>
    <w:rsid w:val="004E741F"/>
    <w:rsid w:val="004F27E1"/>
    <w:rsid w:val="00555A53"/>
    <w:rsid w:val="005957E2"/>
    <w:rsid w:val="0059613B"/>
    <w:rsid w:val="005A1A40"/>
    <w:rsid w:val="005A1FBD"/>
    <w:rsid w:val="005B1A6D"/>
    <w:rsid w:val="005D1E42"/>
    <w:rsid w:val="005D5A8C"/>
    <w:rsid w:val="005E753B"/>
    <w:rsid w:val="005F4111"/>
    <w:rsid w:val="00625A70"/>
    <w:rsid w:val="006272C1"/>
    <w:rsid w:val="00647404"/>
    <w:rsid w:val="00655B90"/>
    <w:rsid w:val="0065742D"/>
    <w:rsid w:val="00660145"/>
    <w:rsid w:val="006616E5"/>
    <w:rsid w:val="0067727F"/>
    <w:rsid w:val="00685F1F"/>
    <w:rsid w:val="00686311"/>
    <w:rsid w:val="00693477"/>
    <w:rsid w:val="00695CAE"/>
    <w:rsid w:val="00696695"/>
    <w:rsid w:val="006B4C3B"/>
    <w:rsid w:val="006D5365"/>
    <w:rsid w:val="00701D17"/>
    <w:rsid w:val="00703CBF"/>
    <w:rsid w:val="00706E15"/>
    <w:rsid w:val="0071600A"/>
    <w:rsid w:val="00735359"/>
    <w:rsid w:val="00743836"/>
    <w:rsid w:val="0074737D"/>
    <w:rsid w:val="00763965"/>
    <w:rsid w:val="00792ADD"/>
    <w:rsid w:val="007966E6"/>
    <w:rsid w:val="007B0282"/>
    <w:rsid w:val="007B16B7"/>
    <w:rsid w:val="007C16D8"/>
    <w:rsid w:val="007C48AF"/>
    <w:rsid w:val="007D14D1"/>
    <w:rsid w:val="007E3E9D"/>
    <w:rsid w:val="007E445F"/>
    <w:rsid w:val="007F0B22"/>
    <w:rsid w:val="007F16AE"/>
    <w:rsid w:val="007F478C"/>
    <w:rsid w:val="0080032E"/>
    <w:rsid w:val="00805EB8"/>
    <w:rsid w:val="00827403"/>
    <w:rsid w:val="00854D24"/>
    <w:rsid w:val="00856033"/>
    <w:rsid w:val="00870F1A"/>
    <w:rsid w:val="008848FD"/>
    <w:rsid w:val="00886175"/>
    <w:rsid w:val="008A0049"/>
    <w:rsid w:val="008A1A3E"/>
    <w:rsid w:val="008A4298"/>
    <w:rsid w:val="008B31B6"/>
    <w:rsid w:val="008D15F8"/>
    <w:rsid w:val="008D5ED9"/>
    <w:rsid w:val="008F2E0B"/>
    <w:rsid w:val="00904087"/>
    <w:rsid w:val="00924D81"/>
    <w:rsid w:val="00936566"/>
    <w:rsid w:val="00937757"/>
    <w:rsid w:val="0098738A"/>
    <w:rsid w:val="00991CD8"/>
    <w:rsid w:val="009D034C"/>
    <w:rsid w:val="009D498A"/>
    <w:rsid w:val="009D6CFE"/>
    <w:rsid w:val="00A105FE"/>
    <w:rsid w:val="00A15293"/>
    <w:rsid w:val="00A2293D"/>
    <w:rsid w:val="00A265C2"/>
    <w:rsid w:val="00A337D9"/>
    <w:rsid w:val="00A43A3A"/>
    <w:rsid w:val="00A45008"/>
    <w:rsid w:val="00A50749"/>
    <w:rsid w:val="00A55542"/>
    <w:rsid w:val="00A56D4B"/>
    <w:rsid w:val="00A6024F"/>
    <w:rsid w:val="00A62215"/>
    <w:rsid w:val="00A737A7"/>
    <w:rsid w:val="00A73DD1"/>
    <w:rsid w:val="00A81281"/>
    <w:rsid w:val="00A91A66"/>
    <w:rsid w:val="00A91EA6"/>
    <w:rsid w:val="00AB47D4"/>
    <w:rsid w:val="00AB6A89"/>
    <w:rsid w:val="00AC0E9D"/>
    <w:rsid w:val="00AC7A8B"/>
    <w:rsid w:val="00AF4622"/>
    <w:rsid w:val="00AF61BB"/>
    <w:rsid w:val="00AF72AF"/>
    <w:rsid w:val="00B03DCB"/>
    <w:rsid w:val="00B12D7B"/>
    <w:rsid w:val="00B15550"/>
    <w:rsid w:val="00B52A0E"/>
    <w:rsid w:val="00B52D8F"/>
    <w:rsid w:val="00B57FCF"/>
    <w:rsid w:val="00B80839"/>
    <w:rsid w:val="00B83FC9"/>
    <w:rsid w:val="00BB59AC"/>
    <w:rsid w:val="00BB629B"/>
    <w:rsid w:val="00BC2525"/>
    <w:rsid w:val="00BC28CD"/>
    <w:rsid w:val="00BC330E"/>
    <w:rsid w:val="00BE2D16"/>
    <w:rsid w:val="00BE6ABF"/>
    <w:rsid w:val="00C04640"/>
    <w:rsid w:val="00C066B7"/>
    <w:rsid w:val="00C21229"/>
    <w:rsid w:val="00C25A03"/>
    <w:rsid w:val="00C303D1"/>
    <w:rsid w:val="00C368B7"/>
    <w:rsid w:val="00C52483"/>
    <w:rsid w:val="00C65BFD"/>
    <w:rsid w:val="00C66FAA"/>
    <w:rsid w:val="00C74CB9"/>
    <w:rsid w:val="00C763EC"/>
    <w:rsid w:val="00C8353B"/>
    <w:rsid w:val="00C93DFD"/>
    <w:rsid w:val="00CA06F1"/>
    <w:rsid w:val="00CA4BEF"/>
    <w:rsid w:val="00CA5E04"/>
    <w:rsid w:val="00CA77EC"/>
    <w:rsid w:val="00CB1DA1"/>
    <w:rsid w:val="00CB3402"/>
    <w:rsid w:val="00CB40A0"/>
    <w:rsid w:val="00CC498A"/>
    <w:rsid w:val="00CD40A8"/>
    <w:rsid w:val="00CE25AC"/>
    <w:rsid w:val="00CF04FD"/>
    <w:rsid w:val="00CF37F4"/>
    <w:rsid w:val="00CF7CAF"/>
    <w:rsid w:val="00D01B6C"/>
    <w:rsid w:val="00D1154F"/>
    <w:rsid w:val="00D1304A"/>
    <w:rsid w:val="00D15702"/>
    <w:rsid w:val="00D2139D"/>
    <w:rsid w:val="00D22A0D"/>
    <w:rsid w:val="00D30009"/>
    <w:rsid w:val="00D50F4E"/>
    <w:rsid w:val="00D726F0"/>
    <w:rsid w:val="00D74D68"/>
    <w:rsid w:val="00D813D6"/>
    <w:rsid w:val="00D84948"/>
    <w:rsid w:val="00D84BED"/>
    <w:rsid w:val="00D909C6"/>
    <w:rsid w:val="00D96C99"/>
    <w:rsid w:val="00DA2694"/>
    <w:rsid w:val="00DA6571"/>
    <w:rsid w:val="00DA7DF3"/>
    <w:rsid w:val="00DB4C5A"/>
    <w:rsid w:val="00DC634F"/>
    <w:rsid w:val="00DD7439"/>
    <w:rsid w:val="00DE5A01"/>
    <w:rsid w:val="00DE6959"/>
    <w:rsid w:val="00DF6479"/>
    <w:rsid w:val="00E17EE3"/>
    <w:rsid w:val="00E26FC6"/>
    <w:rsid w:val="00E506A2"/>
    <w:rsid w:val="00E541D4"/>
    <w:rsid w:val="00E61556"/>
    <w:rsid w:val="00E6453F"/>
    <w:rsid w:val="00E7490C"/>
    <w:rsid w:val="00E86C9A"/>
    <w:rsid w:val="00E9359A"/>
    <w:rsid w:val="00E94891"/>
    <w:rsid w:val="00EB1C44"/>
    <w:rsid w:val="00EB68A3"/>
    <w:rsid w:val="00EB7395"/>
    <w:rsid w:val="00EC1E7C"/>
    <w:rsid w:val="00EC221C"/>
    <w:rsid w:val="00EC30DE"/>
    <w:rsid w:val="00EC4F87"/>
    <w:rsid w:val="00EC74A3"/>
    <w:rsid w:val="00EC7774"/>
    <w:rsid w:val="00EE4245"/>
    <w:rsid w:val="00EF6889"/>
    <w:rsid w:val="00F015A5"/>
    <w:rsid w:val="00F02343"/>
    <w:rsid w:val="00F05479"/>
    <w:rsid w:val="00F36C4F"/>
    <w:rsid w:val="00F41C5F"/>
    <w:rsid w:val="00F43B2D"/>
    <w:rsid w:val="00F56DAF"/>
    <w:rsid w:val="00F577AD"/>
    <w:rsid w:val="00F6311E"/>
    <w:rsid w:val="00F75F34"/>
    <w:rsid w:val="00F806F9"/>
    <w:rsid w:val="00F83966"/>
    <w:rsid w:val="00F92EDB"/>
    <w:rsid w:val="00FA2B2E"/>
    <w:rsid w:val="00FC3869"/>
    <w:rsid w:val="00FD451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Normal"/>
    <w:link w:val="Heading2Char"/>
    <w:uiPriority w:val="9"/>
    <w:unhideWhenUsed/>
    <w:qFormat/>
    <w:rsid w:val="001D0E40"/>
    <w:pPr>
      <w:keepNext/>
      <w:keepLines/>
      <w:spacing w:before="200"/>
      <w:outlineLvl w:val="1"/>
    </w:pPr>
    <w:rPr>
      <w:rFonts w:asciiTheme="majorHAnsi" w:eastAsiaTheme="majorEastAsia" w:hAnsiTheme="majorHAnsi"/>
      <w:b/>
      <w:bCs/>
      <w:color w:val="4F81BD" w:themeColor="accent1"/>
      <w:sz w:val="26"/>
      <w:szCs w:val="23"/>
    </w:rPr>
  </w:style>
  <w:style w:type="paragraph" w:styleId="Heading4">
    <w:name w:val="heading 4"/>
    <w:basedOn w:val="Normal"/>
    <w:next w:val="Normal"/>
    <w:link w:val="Heading4Char"/>
    <w:uiPriority w:val="9"/>
    <w:semiHidden/>
    <w:unhideWhenUsed/>
    <w:qFormat/>
    <w:rsid w:val="001D0E40"/>
    <w:pPr>
      <w:keepNext/>
      <w:keepLines/>
      <w:spacing w:before="200"/>
      <w:outlineLvl w:val="3"/>
    </w:pPr>
    <w:rPr>
      <w:rFonts w:asciiTheme="majorHAnsi" w:eastAsiaTheme="majorEastAsia" w:hAnsiTheme="majorHAnsi"/>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FootnoteCharacters">
    <w:name w:val="Footnote Characters"/>
    <w:rPr>
      <w:vertAlign w:val="superscript"/>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style>
  <w:style w:type="paragraph" w:styleId="FootnoteText">
    <w:name w:val="footnote text"/>
    <w:basedOn w:val="Normal"/>
    <w:link w:val="FootnoteTextChar"/>
    <w:uiPriority w:val="99"/>
    <w:pPr>
      <w:suppressLineNumbers/>
      <w:ind w:left="283" w:hanging="283"/>
    </w:pPr>
    <w:rPr>
      <w:sz w:val="20"/>
      <w:szCs w:val="20"/>
    </w:rPr>
  </w:style>
  <w:style w:type="paragraph" w:customStyle="1" w:styleId="sdfootnote">
    <w:name w:val="sdfootnote"/>
    <w:basedOn w:val="Normal"/>
    <w:pPr>
      <w:spacing w:before="280" w:after="280"/>
    </w:pPr>
  </w:style>
  <w:style w:type="paragraph" w:customStyle="1" w:styleId="WW-Default">
    <w:name w:val="WW-Default"/>
    <w:pPr>
      <w:suppressAutoHyphens/>
      <w:autoSpaceDE w:val="0"/>
    </w:pPr>
    <w:rPr>
      <w:rFonts w:eastAsia="Arial"/>
      <w:color w:val="000000"/>
      <w:kern w:val="1"/>
      <w:sz w:val="24"/>
      <w:szCs w:val="24"/>
      <w:lang w:eastAsia="ar-SA"/>
    </w:rPr>
  </w:style>
  <w:style w:type="character" w:styleId="CommentReference">
    <w:name w:val="annotation reference"/>
    <w:uiPriority w:val="99"/>
    <w:semiHidden/>
    <w:unhideWhenUsed/>
    <w:rsid w:val="005A1A40"/>
    <w:rPr>
      <w:sz w:val="16"/>
      <w:szCs w:val="16"/>
    </w:rPr>
  </w:style>
  <w:style w:type="paragraph" w:styleId="CommentText">
    <w:name w:val="annotation text"/>
    <w:basedOn w:val="Normal"/>
    <w:link w:val="CommentTextChar"/>
    <w:uiPriority w:val="99"/>
    <w:semiHidden/>
    <w:unhideWhenUsed/>
    <w:rsid w:val="005A1A40"/>
    <w:rPr>
      <w:sz w:val="20"/>
      <w:szCs w:val="18"/>
    </w:rPr>
  </w:style>
  <w:style w:type="character" w:customStyle="1" w:styleId="CommentTextChar">
    <w:name w:val="Comment Text Char"/>
    <w:link w:val="CommentText"/>
    <w:uiPriority w:val="99"/>
    <w:semiHidden/>
    <w:rsid w:val="005A1A40"/>
    <w:rPr>
      <w:rFonts w:eastAsia="Lucida Sans Unicode"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5A1A40"/>
    <w:rPr>
      <w:b/>
      <w:bCs/>
    </w:rPr>
  </w:style>
  <w:style w:type="character" w:customStyle="1" w:styleId="CommentSubjectChar">
    <w:name w:val="Comment Subject Char"/>
    <w:link w:val="CommentSubject"/>
    <w:uiPriority w:val="99"/>
    <w:semiHidden/>
    <w:rsid w:val="005A1A40"/>
    <w:rPr>
      <w:rFonts w:eastAsia="Lucida Sans Unicode" w:cs="Mangal"/>
      <w:b/>
      <w:bCs/>
      <w:kern w:val="1"/>
      <w:szCs w:val="18"/>
      <w:lang w:eastAsia="hi-IN" w:bidi="hi-IN"/>
    </w:rPr>
  </w:style>
  <w:style w:type="paragraph" w:styleId="BalloonText">
    <w:name w:val="Balloon Text"/>
    <w:basedOn w:val="Normal"/>
    <w:link w:val="BalloonTextChar"/>
    <w:uiPriority w:val="99"/>
    <w:semiHidden/>
    <w:unhideWhenUsed/>
    <w:rsid w:val="005A1A40"/>
    <w:rPr>
      <w:rFonts w:ascii="Tahoma" w:hAnsi="Tahoma"/>
      <w:sz w:val="16"/>
      <w:szCs w:val="14"/>
    </w:rPr>
  </w:style>
  <w:style w:type="character" w:customStyle="1" w:styleId="BalloonTextChar">
    <w:name w:val="Balloon Text Char"/>
    <w:link w:val="BalloonText"/>
    <w:uiPriority w:val="99"/>
    <w:semiHidden/>
    <w:rsid w:val="005A1A40"/>
    <w:rPr>
      <w:rFonts w:ascii="Tahoma" w:eastAsia="Lucida Sans Unicode" w:hAnsi="Tahoma" w:cs="Mangal"/>
      <w:kern w:val="1"/>
      <w:sz w:val="16"/>
      <w:szCs w:val="14"/>
      <w:lang w:eastAsia="hi-IN" w:bidi="hi-IN"/>
    </w:rPr>
  </w:style>
  <w:style w:type="table" w:styleId="TableGrid">
    <w:name w:val="Table Grid"/>
    <w:basedOn w:val="TableNormal"/>
    <w:uiPriority w:val="59"/>
    <w:rsid w:val="005F4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81637"/>
    <w:rPr>
      <w:rFonts w:eastAsia="Lucida Sans Unicode" w:cs="Mangal"/>
      <w:kern w:val="1"/>
      <w:sz w:val="24"/>
      <w:szCs w:val="21"/>
      <w:lang w:eastAsia="hi-IN" w:bidi="hi-IN"/>
    </w:rPr>
  </w:style>
  <w:style w:type="character" w:customStyle="1" w:styleId="FootnoteTextChar">
    <w:name w:val="Footnote Text Char"/>
    <w:basedOn w:val="DefaultParagraphFont"/>
    <w:link w:val="FootnoteText"/>
    <w:uiPriority w:val="99"/>
    <w:rsid w:val="00EC4F87"/>
    <w:rPr>
      <w:rFonts w:eastAsia="Lucida Sans Unicode" w:cs="Mangal"/>
      <w:kern w:val="1"/>
      <w:lang w:eastAsia="hi-IN" w:bidi="hi-IN"/>
    </w:rPr>
  </w:style>
  <w:style w:type="character" w:customStyle="1" w:styleId="shorttext">
    <w:name w:val="short_text"/>
    <w:basedOn w:val="DefaultParagraphFont"/>
    <w:rsid w:val="00EC4F87"/>
  </w:style>
  <w:style w:type="paragraph" w:styleId="Header">
    <w:name w:val="header"/>
    <w:basedOn w:val="Normal"/>
    <w:link w:val="HeaderChar"/>
    <w:uiPriority w:val="99"/>
    <w:unhideWhenUsed/>
    <w:rsid w:val="00EF6889"/>
    <w:pPr>
      <w:tabs>
        <w:tab w:val="center" w:pos="4680"/>
        <w:tab w:val="right" w:pos="9360"/>
      </w:tabs>
    </w:pPr>
    <w:rPr>
      <w:szCs w:val="21"/>
    </w:rPr>
  </w:style>
  <w:style w:type="character" w:customStyle="1" w:styleId="HeaderChar">
    <w:name w:val="Header Char"/>
    <w:basedOn w:val="DefaultParagraphFont"/>
    <w:link w:val="Header"/>
    <w:uiPriority w:val="99"/>
    <w:rsid w:val="00EF6889"/>
    <w:rPr>
      <w:rFonts w:eastAsia="Lucida Sans Unicode" w:cs="Mangal"/>
      <w:kern w:val="1"/>
      <w:sz w:val="24"/>
      <w:szCs w:val="21"/>
      <w:lang w:eastAsia="hi-IN" w:bidi="hi-IN"/>
    </w:rPr>
  </w:style>
  <w:style w:type="paragraph" w:styleId="Footer">
    <w:name w:val="footer"/>
    <w:basedOn w:val="Normal"/>
    <w:link w:val="FooterChar"/>
    <w:uiPriority w:val="99"/>
    <w:unhideWhenUsed/>
    <w:rsid w:val="00EF6889"/>
    <w:pPr>
      <w:tabs>
        <w:tab w:val="center" w:pos="4680"/>
        <w:tab w:val="right" w:pos="9360"/>
      </w:tabs>
    </w:pPr>
    <w:rPr>
      <w:szCs w:val="21"/>
    </w:rPr>
  </w:style>
  <w:style w:type="character" w:customStyle="1" w:styleId="FooterChar">
    <w:name w:val="Footer Char"/>
    <w:basedOn w:val="DefaultParagraphFont"/>
    <w:link w:val="Footer"/>
    <w:uiPriority w:val="99"/>
    <w:rsid w:val="00EF6889"/>
    <w:rPr>
      <w:rFonts w:eastAsia="Lucida Sans Unicode" w:cs="Mangal"/>
      <w:kern w:val="1"/>
      <w:sz w:val="24"/>
      <w:szCs w:val="21"/>
      <w:lang w:eastAsia="hi-IN" w:bidi="hi-IN"/>
    </w:rPr>
  </w:style>
  <w:style w:type="character" w:styleId="Hyperlink">
    <w:name w:val="Hyperlink"/>
    <w:basedOn w:val="DefaultParagraphFont"/>
    <w:uiPriority w:val="99"/>
    <w:unhideWhenUsed/>
    <w:rsid w:val="00EB68A3"/>
    <w:rPr>
      <w:color w:val="0000FF" w:themeColor="hyperlink"/>
      <w:u w:val="single"/>
    </w:rPr>
  </w:style>
  <w:style w:type="character" w:customStyle="1" w:styleId="Heading2Char">
    <w:name w:val="Heading 2 Char"/>
    <w:basedOn w:val="DefaultParagraphFont"/>
    <w:link w:val="Heading2"/>
    <w:uiPriority w:val="9"/>
    <w:rsid w:val="001D0E40"/>
    <w:rPr>
      <w:rFonts w:asciiTheme="majorHAnsi" w:eastAsiaTheme="majorEastAsia" w:hAnsiTheme="majorHAnsi" w:cs="Mangal"/>
      <w:b/>
      <w:bCs/>
      <w:color w:val="4F81BD" w:themeColor="accent1"/>
      <w:kern w:val="1"/>
      <w:sz w:val="26"/>
      <w:szCs w:val="23"/>
      <w:lang w:eastAsia="hi-IN" w:bidi="hi-IN"/>
    </w:rPr>
  </w:style>
  <w:style w:type="character" w:customStyle="1" w:styleId="Heading4Char">
    <w:name w:val="Heading 4 Char"/>
    <w:basedOn w:val="DefaultParagraphFont"/>
    <w:link w:val="Heading4"/>
    <w:uiPriority w:val="9"/>
    <w:semiHidden/>
    <w:rsid w:val="001D0E40"/>
    <w:rPr>
      <w:rFonts w:asciiTheme="majorHAnsi" w:eastAsiaTheme="majorEastAsia" w:hAnsiTheme="majorHAnsi" w:cs="Mangal"/>
      <w:b/>
      <w:bCs/>
      <w:i/>
      <w:iCs/>
      <w:color w:val="4F81BD" w:themeColor="accent1"/>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Normal"/>
    <w:link w:val="Heading2Char"/>
    <w:uiPriority w:val="9"/>
    <w:unhideWhenUsed/>
    <w:qFormat/>
    <w:rsid w:val="001D0E40"/>
    <w:pPr>
      <w:keepNext/>
      <w:keepLines/>
      <w:spacing w:before="200"/>
      <w:outlineLvl w:val="1"/>
    </w:pPr>
    <w:rPr>
      <w:rFonts w:asciiTheme="majorHAnsi" w:eastAsiaTheme="majorEastAsia" w:hAnsiTheme="majorHAnsi"/>
      <w:b/>
      <w:bCs/>
      <w:color w:val="4F81BD" w:themeColor="accent1"/>
      <w:sz w:val="26"/>
      <w:szCs w:val="23"/>
    </w:rPr>
  </w:style>
  <w:style w:type="paragraph" w:styleId="Heading4">
    <w:name w:val="heading 4"/>
    <w:basedOn w:val="Normal"/>
    <w:next w:val="Normal"/>
    <w:link w:val="Heading4Char"/>
    <w:uiPriority w:val="9"/>
    <w:semiHidden/>
    <w:unhideWhenUsed/>
    <w:qFormat/>
    <w:rsid w:val="001D0E40"/>
    <w:pPr>
      <w:keepNext/>
      <w:keepLines/>
      <w:spacing w:before="200"/>
      <w:outlineLvl w:val="3"/>
    </w:pPr>
    <w:rPr>
      <w:rFonts w:asciiTheme="majorHAnsi" w:eastAsiaTheme="majorEastAsia" w:hAnsiTheme="majorHAnsi"/>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FootnoteCharacters">
    <w:name w:val="Footnote Characters"/>
    <w:rPr>
      <w:vertAlign w:val="superscript"/>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style>
  <w:style w:type="paragraph" w:styleId="FootnoteText">
    <w:name w:val="footnote text"/>
    <w:basedOn w:val="Normal"/>
    <w:link w:val="FootnoteTextChar"/>
    <w:uiPriority w:val="99"/>
    <w:pPr>
      <w:suppressLineNumbers/>
      <w:ind w:left="283" w:hanging="283"/>
    </w:pPr>
    <w:rPr>
      <w:sz w:val="20"/>
      <w:szCs w:val="20"/>
    </w:rPr>
  </w:style>
  <w:style w:type="paragraph" w:customStyle="1" w:styleId="sdfootnote">
    <w:name w:val="sdfootnote"/>
    <w:basedOn w:val="Normal"/>
    <w:pPr>
      <w:spacing w:before="280" w:after="280"/>
    </w:pPr>
  </w:style>
  <w:style w:type="paragraph" w:customStyle="1" w:styleId="WW-Default">
    <w:name w:val="WW-Default"/>
    <w:pPr>
      <w:suppressAutoHyphens/>
      <w:autoSpaceDE w:val="0"/>
    </w:pPr>
    <w:rPr>
      <w:rFonts w:eastAsia="Arial"/>
      <w:color w:val="000000"/>
      <w:kern w:val="1"/>
      <w:sz w:val="24"/>
      <w:szCs w:val="24"/>
      <w:lang w:eastAsia="ar-SA"/>
    </w:rPr>
  </w:style>
  <w:style w:type="character" w:styleId="CommentReference">
    <w:name w:val="annotation reference"/>
    <w:uiPriority w:val="99"/>
    <w:semiHidden/>
    <w:unhideWhenUsed/>
    <w:rsid w:val="005A1A40"/>
    <w:rPr>
      <w:sz w:val="16"/>
      <w:szCs w:val="16"/>
    </w:rPr>
  </w:style>
  <w:style w:type="paragraph" w:styleId="CommentText">
    <w:name w:val="annotation text"/>
    <w:basedOn w:val="Normal"/>
    <w:link w:val="CommentTextChar"/>
    <w:uiPriority w:val="99"/>
    <w:semiHidden/>
    <w:unhideWhenUsed/>
    <w:rsid w:val="005A1A40"/>
    <w:rPr>
      <w:sz w:val="20"/>
      <w:szCs w:val="18"/>
    </w:rPr>
  </w:style>
  <w:style w:type="character" w:customStyle="1" w:styleId="CommentTextChar">
    <w:name w:val="Comment Text Char"/>
    <w:link w:val="CommentText"/>
    <w:uiPriority w:val="99"/>
    <w:semiHidden/>
    <w:rsid w:val="005A1A40"/>
    <w:rPr>
      <w:rFonts w:eastAsia="Lucida Sans Unicode"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5A1A40"/>
    <w:rPr>
      <w:b/>
      <w:bCs/>
    </w:rPr>
  </w:style>
  <w:style w:type="character" w:customStyle="1" w:styleId="CommentSubjectChar">
    <w:name w:val="Comment Subject Char"/>
    <w:link w:val="CommentSubject"/>
    <w:uiPriority w:val="99"/>
    <w:semiHidden/>
    <w:rsid w:val="005A1A40"/>
    <w:rPr>
      <w:rFonts w:eastAsia="Lucida Sans Unicode" w:cs="Mangal"/>
      <w:b/>
      <w:bCs/>
      <w:kern w:val="1"/>
      <w:szCs w:val="18"/>
      <w:lang w:eastAsia="hi-IN" w:bidi="hi-IN"/>
    </w:rPr>
  </w:style>
  <w:style w:type="paragraph" w:styleId="BalloonText">
    <w:name w:val="Balloon Text"/>
    <w:basedOn w:val="Normal"/>
    <w:link w:val="BalloonTextChar"/>
    <w:uiPriority w:val="99"/>
    <w:semiHidden/>
    <w:unhideWhenUsed/>
    <w:rsid w:val="005A1A40"/>
    <w:rPr>
      <w:rFonts w:ascii="Tahoma" w:hAnsi="Tahoma"/>
      <w:sz w:val="16"/>
      <w:szCs w:val="14"/>
    </w:rPr>
  </w:style>
  <w:style w:type="character" w:customStyle="1" w:styleId="BalloonTextChar">
    <w:name w:val="Balloon Text Char"/>
    <w:link w:val="BalloonText"/>
    <w:uiPriority w:val="99"/>
    <w:semiHidden/>
    <w:rsid w:val="005A1A40"/>
    <w:rPr>
      <w:rFonts w:ascii="Tahoma" w:eastAsia="Lucida Sans Unicode" w:hAnsi="Tahoma" w:cs="Mangal"/>
      <w:kern w:val="1"/>
      <w:sz w:val="16"/>
      <w:szCs w:val="14"/>
      <w:lang w:eastAsia="hi-IN" w:bidi="hi-IN"/>
    </w:rPr>
  </w:style>
  <w:style w:type="table" w:styleId="TableGrid">
    <w:name w:val="Table Grid"/>
    <w:basedOn w:val="TableNormal"/>
    <w:uiPriority w:val="59"/>
    <w:rsid w:val="005F4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81637"/>
    <w:rPr>
      <w:rFonts w:eastAsia="Lucida Sans Unicode" w:cs="Mangal"/>
      <w:kern w:val="1"/>
      <w:sz w:val="24"/>
      <w:szCs w:val="21"/>
      <w:lang w:eastAsia="hi-IN" w:bidi="hi-IN"/>
    </w:rPr>
  </w:style>
  <w:style w:type="character" w:customStyle="1" w:styleId="FootnoteTextChar">
    <w:name w:val="Footnote Text Char"/>
    <w:basedOn w:val="DefaultParagraphFont"/>
    <w:link w:val="FootnoteText"/>
    <w:uiPriority w:val="99"/>
    <w:rsid w:val="00EC4F87"/>
    <w:rPr>
      <w:rFonts w:eastAsia="Lucida Sans Unicode" w:cs="Mangal"/>
      <w:kern w:val="1"/>
      <w:lang w:eastAsia="hi-IN" w:bidi="hi-IN"/>
    </w:rPr>
  </w:style>
  <w:style w:type="character" w:customStyle="1" w:styleId="shorttext">
    <w:name w:val="short_text"/>
    <w:basedOn w:val="DefaultParagraphFont"/>
    <w:rsid w:val="00EC4F87"/>
  </w:style>
  <w:style w:type="paragraph" w:styleId="Header">
    <w:name w:val="header"/>
    <w:basedOn w:val="Normal"/>
    <w:link w:val="HeaderChar"/>
    <w:uiPriority w:val="99"/>
    <w:unhideWhenUsed/>
    <w:rsid w:val="00EF6889"/>
    <w:pPr>
      <w:tabs>
        <w:tab w:val="center" w:pos="4680"/>
        <w:tab w:val="right" w:pos="9360"/>
      </w:tabs>
    </w:pPr>
    <w:rPr>
      <w:szCs w:val="21"/>
    </w:rPr>
  </w:style>
  <w:style w:type="character" w:customStyle="1" w:styleId="HeaderChar">
    <w:name w:val="Header Char"/>
    <w:basedOn w:val="DefaultParagraphFont"/>
    <w:link w:val="Header"/>
    <w:uiPriority w:val="99"/>
    <w:rsid w:val="00EF6889"/>
    <w:rPr>
      <w:rFonts w:eastAsia="Lucida Sans Unicode" w:cs="Mangal"/>
      <w:kern w:val="1"/>
      <w:sz w:val="24"/>
      <w:szCs w:val="21"/>
      <w:lang w:eastAsia="hi-IN" w:bidi="hi-IN"/>
    </w:rPr>
  </w:style>
  <w:style w:type="paragraph" w:styleId="Footer">
    <w:name w:val="footer"/>
    <w:basedOn w:val="Normal"/>
    <w:link w:val="FooterChar"/>
    <w:uiPriority w:val="99"/>
    <w:unhideWhenUsed/>
    <w:rsid w:val="00EF6889"/>
    <w:pPr>
      <w:tabs>
        <w:tab w:val="center" w:pos="4680"/>
        <w:tab w:val="right" w:pos="9360"/>
      </w:tabs>
    </w:pPr>
    <w:rPr>
      <w:szCs w:val="21"/>
    </w:rPr>
  </w:style>
  <w:style w:type="character" w:customStyle="1" w:styleId="FooterChar">
    <w:name w:val="Footer Char"/>
    <w:basedOn w:val="DefaultParagraphFont"/>
    <w:link w:val="Footer"/>
    <w:uiPriority w:val="99"/>
    <w:rsid w:val="00EF6889"/>
    <w:rPr>
      <w:rFonts w:eastAsia="Lucida Sans Unicode" w:cs="Mangal"/>
      <w:kern w:val="1"/>
      <w:sz w:val="24"/>
      <w:szCs w:val="21"/>
      <w:lang w:eastAsia="hi-IN" w:bidi="hi-IN"/>
    </w:rPr>
  </w:style>
  <w:style w:type="character" w:styleId="Hyperlink">
    <w:name w:val="Hyperlink"/>
    <w:basedOn w:val="DefaultParagraphFont"/>
    <w:uiPriority w:val="99"/>
    <w:unhideWhenUsed/>
    <w:rsid w:val="00EB68A3"/>
    <w:rPr>
      <w:color w:val="0000FF" w:themeColor="hyperlink"/>
      <w:u w:val="single"/>
    </w:rPr>
  </w:style>
  <w:style w:type="character" w:customStyle="1" w:styleId="Heading2Char">
    <w:name w:val="Heading 2 Char"/>
    <w:basedOn w:val="DefaultParagraphFont"/>
    <w:link w:val="Heading2"/>
    <w:uiPriority w:val="9"/>
    <w:rsid w:val="001D0E40"/>
    <w:rPr>
      <w:rFonts w:asciiTheme="majorHAnsi" w:eastAsiaTheme="majorEastAsia" w:hAnsiTheme="majorHAnsi" w:cs="Mangal"/>
      <w:b/>
      <w:bCs/>
      <w:color w:val="4F81BD" w:themeColor="accent1"/>
      <w:kern w:val="1"/>
      <w:sz w:val="26"/>
      <w:szCs w:val="23"/>
      <w:lang w:eastAsia="hi-IN" w:bidi="hi-IN"/>
    </w:rPr>
  </w:style>
  <w:style w:type="character" w:customStyle="1" w:styleId="Heading4Char">
    <w:name w:val="Heading 4 Char"/>
    <w:basedOn w:val="DefaultParagraphFont"/>
    <w:link w:val="Heading4"/>
    <w:uiPriority w:val="9"/>
    <w:semiHidden/>
    <w:rsid w:val="001D0E40"/>
    <w:rPr>
      <w:rFonts w:asciiTheme="majorHAnsi" w:eastAsiaTheme="majorEastAsia" w:hAnsiTheme="majorHAnsi" w:cs="Mangal"/>
      <w:b/>
      <w:bCs/>
      <w:i/>
      <w:iCs/>
      <w:color w:val="4F81BD" w:themeColor="accent1"/>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077">
      <w:bodyDiv w:val="1"/>
      <w:marLeft w:val="0"/>
      <w:marRight w:val="0"/>
      <w:marTop w:val="0"/>
      <w:marBottom w:val="0"/>
      <w:divBdr>
        <w:top w:val="none" w:sz="0" w:space="0" w:color="auto"/>
        <w:left w:val="none" w:sz="0" w:space="0" w:color="auto"/>
        <w:bottom w:val="none" w:sz="0" w:space="0" w:color="auto"/>
        <w:right w:val="none" w:sz="0" w:space="0" w:color="auto"/>
      </w:divBdr>
    </w:div>
    <w:div w:id="110437307">
      <w:bodyDiv w:val="1"/>
      <w:marLeft w:val="0"/>
      <w:marRight w:val="0"/>
      <w:marTop w:val="0"/>
      <w:marBottom w:val="0"/>
      <w:divBdr>
        <w:top w:val="none" w:sz="0" w:space="0" w:color="auto"/>
        <w:left w:val="none" w:sz="0" w:space="0" w:color="auto"/>
        <w:bottom w:val="none" w:sz="0" w:space="0" w:color="auto"/>
        <w:right w:val="none" w:sz="0" w:space="0" w:color="auto"/>
      </w:divBdr>
      <w:divsChild>
        <w:div w:id="1118910829">
          <w:marLeft w:val="0"/>
          <w:marRight w:val="0"/>
          <w:marTop w:val="0"/>
          <w:marBottom w:val="0"/>
          <w:divBdr>
            <w:top w:val="none" w:sz="0" w:space="0" w:color="auto"/>
            <w:left w:val="none" w:sz="0" w:space="0" w:color="auto"/>
            <w:bottom w:val="none" w:sz="0" w:space="0" w:color="auto"/>
            <w:right w:val="none" w:sz="0" w:space="0" w:color="auto"/>
          </w:divBdr>
        </w:div>
        <w:div w:id="670525763">
          <w:marLeft w:val="0"/>
          <w:marRight w:val="0"/>
          <w:marTop w:val="0"/>
          <w:marBottom w:val="0"/>
          <w:divBdr>
            <w:top w:val="none" w:sz="0" w:space="0" w:color="auto"/>
            <w:left w:val="none" w:sz="0" w:space="0" w:color="auto"/>
            <w:bottom w:val="none" w:sz="0" w:space="0" w:color="auto"/>
            <w:right w:val="none" w:sz="0" w:space="0" w:color="auto"/>
          </w:divBdr>
        </w:div>
        <w:div w:id="1284268209">
          <w:marLeft w:val="0"/>
          <w:marRight w:val="0"/>
          <w:marTop w:val="0"/>
          <w:marBottom w:val="0"/>
          <w:divBdr>
            <w:top w:val="none" w:sz="0" w:space="0" w:color="auto"/>
            <w:left w:val="none" w:sz="0" w:space="0" w:color="auto"/>
            <w:bottom w:val="none" w:sz="0" w:space="0" w:color="auto"/>
            <w:right w:val="none" w:sz="0" w:space="0" w:color="auto"/>
          </w:divBdr>
        </w:div>
        <w:div w:id="2095277755">
          <w:marLeft w:val="0"/>
          <w:marRight w:val="0"/>
          <w:marTop w:val="0"/>
          <w:marBottom w:val="0"/>
          <w:divBdr>
            <w:top w:val="none" w:sz="0" w:space="0" w:color="auto"/>
            <w:left w:val="none" w:sz="0" w:space="0" w:color="auto"/>
            <w:bottom w:val="none" w:sz="0" w:space="0" w:color="auto"/>
            <w:right w:val="none" w:sz="0" w:space="0" w:color="auto"/>
          </w:divBdr>
        </w:div>
        <w:div w:id="1197739666">
          <w:marLeft w:val="0"/>
          <w:marRight w:val="0"/>
          <w:marTop w:val="0"/>
          <w:marBottom w:val="0"/>
          <w:divBdr>
            <w:top w:val="none" w:sz="0" w:space="0" w:color="auto"/>
            <w:left w:val="none" w:sz="0" w:space="0" w:color="auto"/>
            <w:bottom w:val="none" w:sz="0" w:space="0" w:color="auto"/>
            <w:right w:val="none" w:sz="0" w:space="0" w:color="auto"/>
          </w:divBdr>
        </w:div>
        <w:div w:id="371687274">
          <w:marLeft w:val="0"/>
          <w:marRight w:val="0"/>
          <w:marTop w:val="0"/>
          <w:marBottom w:val="0"/>
          <w:divBdr>
            <w:top w:val="none" w:sz="0" w:space="0" w:color="auto"/>
            <w:left w:val="none" w:sz="0" w:space="0" w:color="auto"/>
            <w:bottom w:val="none" w:sz="0" w:space="0" w:color="auto"/>
            <w:right w:val="none" w:sz="0" w:space="0" w:color="auto"/>
          </w:divBdr>
        </w:div>
        <w:div w:id="667905425">
          <w:marLeft w:val="0"/>
          <w:marRight w:val="0"/>
          <w:marTop w:val="0"/>
          <w:marBottom w:val="0"/>
          <w:divBdr>
            <w:top w:val="none" w:sz="0" w:space="0" w:color="auto"/>
            <w:left w:val="none" w:sz="0" w:space="0" w:color="auto"/>
            <w:bottom w:val="none" w:sz="0" w:space="0" w:color="auto"/>
            <w:right w:val="none" w:sz="0" w:space="0" w:color="auto"/>
          </w:divBdr>
        </w:div>
      </w:divsChild>
    </w:div>
    <w:div w:id="146627666">
      <w:bodyDiv w:val="1"/>
      <w:marLeft w:val="0"/>
      <w:marRight w:val="0"/>
      <w:marTop w:val="0"/>
      <w:marBottom w:val="0"/>
      <w:divBdr>
        <w:top w:val="none" w:sz="0" w:space="0" w:color="auto"/>
        <w:left w:val="none" w:sz="0" w:space="0" w:color="auto"/>
        <w:bottom w:val="none" w:sz="0" w:space="0" w:color="auto"/>
        <w:right w:val="none" w:sz="0" w:space="0" w:color="auto"/>
      </w:divBdr>
    </w:div>
    <w:div w:id="705562235">
      <w:bodyDiv w:val="1"/>
      <w:marLeft w:val="0"/>
      <w:marRight w:val="0"/>
      <w:marTop w:val="0"/>
      <w:marBottom w:val="0"/>
      <w:divBdr>
        <w:top w:val="none" w:sz="0" w:space="0" w:color="auto"/>
        <w:left w:val="none" w:sz="0" w:space="0" w:color="auto"/>
        <w:bottom w:val="none" w:sz="0" w:space="0" w:color="auto"/>
        <w:right w:val="none" w:sz="0" w:space="0" w:color="auto"/>
      </w:divBdr>
    </w:div>
    <w:div w:id="938877394">
      <w:bodyDiv w:val="1"/>
      <w:marLeft w:val="0"/>
      <w:marRight w:val="0"/>
      <w:marTop w:val="0"/>
      <w:marBottom w:val="0"/>
      <w:divBdr>
        <w:top w:val="none" w:sz="0" w:space="0" w:color="auto"/>
        <w:left w:val="none" w:sz="0" w:space="0" w:color="auto"/>
        <w:bottom w:val="none" w:sz="0" w:space="0" w:color="auto"/>
        <w:right w:val="none" w:sz="0" w:space="0" w:color="auto"/>
      </w:divBdr>
    </w:div>
    <w:div w:id="1000041026">
      <w:bodyDiv w:val="1"/>
      <w:marLeft w:val="0"/>
      <w:marRight w:val="0"/>
      <w:marTop w:val="0"/>
      <w:marBottom w:val="0"/>
      <w:divBdr>
        <w:top w:val="none" w:sz="0" w:space="0" w:color="auto"/>
        <w:left w:val="none" w:sz="0" w:space="0" w:color="auto"/>
        <w:bottom w:val="none" w:sz="0" w:space="0" w:color="auto"/>
        <w:right w:val="none" w:sz="0" w:space="0" w:color="auto"/>
      </w:divBdr>
    </w:div>
    <w:div w:id="1194267420">
      <w:bodyDiv w:val="1"/>
      <w:marLeft w:val="0"/>
      <w:marRight w:val="0"/>
      <w:marTop w:val="0"/>
      <w:marBottom w:val="0"/>
      <w:divBdr>
        <w:top w:val="none" w:sz="0" w:space="0" w:color="auto"/>
        <w:left w:val="none" w:sz="0" w:space="0" w:color="auto"/>
        <w:bottom w:val="none" w:sz="0" w:space="0" w:color="auto"/>
        <w:right w:val="none" w:sz="0" w:space="0" w:color="auto"/>
      </w:divBdr>
      <w:divsChild>
        <w:div w:id="175075825">
          <w:marLeft w:val="75"/>
          <w:marRight w:val="0"/>
          <w:marTop w:val="0"/>
          <w:marBottom w:val="0"/>
          <w:divBdr>
            <w:top w:val="none" w:sz="0" w:space="0" w:color="000000"/>
            <w:left w:val="single" w:sz="24" w:space="4" w:color="000000"/>
            <w:bottom w:val="none" w:sz="0" w:space="0" w:color="000000"/>
            <w:right w:val="none" w:sz="0" w:space="0" w:color="000000"/>
          </w:divBdr>
          <w:divsChild>
            <w:div w:id="1532572319">
              <w:marLeft w:val="0"/>
              <w:marRight w:val="0"/>
              <w:marTop w:val="0"/>
              <w:marBottom w:val="0"/>
              <w:divBdr>
                <w:top w:val="none" w:sz="0" w:space="0" w:color="auto"/>
                <w:left w:val="none" w:sz="0" w:space="0" w:color="auto"/>
                <w:bottom w:val="none" w:sz="0" w:space="0" w:color="auto"/>
                <w:right w:val="none" w:sz="0" w:space="0" w:color="auto"/>
              </w:divBdr>
              <w:divsChild>
                <w:div w:id="809178870">
                  <w:marLeft w:val="0"/>
                  <w:marRight w:val="0"/>
                  <w:marTop w:val="0"/>
                  <w:marBottom w:val="0"/>
                  <w:divBdr>
                    <w:top w:val="none" w:sz="0" w:space="0" w:color="auto"/>
                    <w:left w:val="none" w:sz="0" w:space="0" w:color="auto"/>
                    <w:bottom w:val="none" w:sz="0" w:space="0" w:color="auto"/>
                    <w:right w:val="none" w:sz="0" w:space="0" w:color="auto"/>
                  </w:divBdr>
                  <w:divsChild>
                    <w:div w:id="1566181164">
                      <w:marLeft w:val="0"/>
                      <w:marRight w:val="0"/>
                      <w:marTop w:val="0"/>
                      <w:marBottom w:val="0"/>
                      <w:divBdr>
                        <w:top w:val="none" w:sz="0" w:space="0" w:color="auto"/>
                        <w:left w:val="none" w:sz="0" w:space="0" w:color="auto"/>
                        <w:bottom w:val="none" w:sz="0" w:space="0" w:color="auto"/>
                        <w:right w:val="none" w:sz="0" w:space="0" w:color="auto"/>
                      </w:divBdr>
                      <w:divsChild>
                        <w:div w:id="949169598">
                          <w:marLeft w:val="0"/>
                          <w:marRight w:val="0"/>
                          <w:marTop w:val="0"/>
                          <w:marBottom w:val="0"/>
                          <w:divBdr>
                            <w:top w:val="none" w:sz="0" w:space="0" w:color="auto"/>
                            <w:left w:val="none" w:sz="0" w:space="0" w:color="auto"/>
                            <w:bottom w:val="none" w:sz="0" w:space="0" w:color="auto"/>
                            <w:right w:val="none" w:sz="0" w:space="0" w:color="auto"/>
                          </w:divBdr>
                        </w:div>
                        <w:div w:id="1384594005">
                          <w:marLeft w:val="0"/>
                          <w:marRight w:val="0"/>
                          <w:marTop w:val="0"/>
                          <w:marBottom w:val="0"/>
                          <w:divBdr>
                            <w:top w:val="none" w:sz="0" w:space="0" w:color="auto"/>
                            <w:left w:val="none" w:sz="0" w:space="0" w:color="auto"/>
                            <w:bottom w:val="none" w:sz="0" w:space="0" w:color="auto"/>
                            <w:right w:val="none" w:sz="0" w:space="0" w:color="auto"/>
                          </w:divBdr>
                        </w:div>
                        <w:div w:id="1440686280">
                          <w:marLeft w:val="0"/>
                          <w:marRight w:val="0"/>
                          <w:marTop w:val="0"/>
                          <w:marBottom w:val="0"/>
                          <w:divBdr>
                            <w:top w:val="none" w:sz="0" w:space="0" w:color="auto"/>
                            <w:left w:val="none" w:sz="0" w:space="0" w:color="auto"/>
                            <w:bottom w:val="none" w:sz="0" w:space="0" w:color="auto"/>
                            <w:right w:val="none" w:sz="0" w:space="0" w:color="auto"/>
                          </w:divBdr>
                        </w:div>
                        <w:div w:id="18003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40504">
      <w:bodyDiv w:val="1"/>
      <w:marLeft w:val="0"/>
      <w:marRight w:val="0"/>
      <w:marTop w:val="0"/>
      <w:marBottom w:val="0"/>
      <w:divBdr>
        <w:top w:val="none" w:sz="0" w:space="0" w:color="auto"/>
        <w:left w:val="none" w:sz="0" w:space="0" w:color="auto"/>
        <w:bottom w:val="none" w:sz="0" w:space="0" w:color="auto"/>
        <w:right w:val="none" w:sz="0" w:space="0" w:color="auto"/>
      </w:divBdr>
    </w:div>
    <w:div w:id="1395737521">
      <w:bodyDiv w:val="1"/>
      <w:marLeft w:val="0"/>
      <w:marRight w:val="0"/>
      <w:marTop w:val="0"/>
      <w:marBottom w:val="0"/>
      <w:divBdr>
        <w:top w:val="none" w:sz="0" w:space="0" w:color="auto"/>
        <w:left w:val="none" w:sz="0" w:space="0" w:color="auto"/>
        <w:bottom w:val="none" w:sz="0" w:space="0" w:color="auto"/>
        <w:right w:val="none" w:sz="0" w:space="0" w:color="auto"/>
      </w:divBdr>
      <w:divsChild>
        <w:div w:id="1372456028">
          <w:marLeft w:val="75"/>
          <w:marRight w:val="0"/>
          <w:marTop w:val="0"/>
          <w:marBottom w:val="0"/>
          <w:divBdr>
            <w:top w:val="none" w:sz="0" w:space="0" w:color="000000"/>
            <w:left w:val="single" w:sz="24" w:space="4" w:color="000000"/>
            <w:bottom w:val="none" w:sz="0" w:space="0" w:color="000000"/>
            <w:right w:val="none" w:sz="0" w:space="0" w:color="000000"/>
          </w:divBdr>
          <w:divsChild>
            <w:div w:id="2047754724">
              <w:marLeft w:val="0"/>
              <w:marRight w:val="0"/>
              <w:marTop w:val="0"/>
              <w:marBottom w:val="0"/>
              <w:divBdr>
                <w:top w:val="none" w:sz="0" w:space="0" w:color="auto"/>
                <w:left w:val="none" w:sz="0" w:space="0" w:color="auto"/>
                <w:bottom w:val="none" w:sz="0" w:space="0" w:color="auto"/>
                <w:right w:val="none" w:sz="0" w:space="0" w:color="auto"/>
              </w:divBdr>
              <w:divsChild>
                <w:div w:id="27075076">
                  <w:marLeft w:val="0"/>
                  <w:marRight w:val="0"/>
                  <w:marTop w:val="0"/>
                  <w:marBottom w:val="0"/>
                  <w:divBdr>
                    <w:top w:val="none" w:sz="0" w:space="0" w:color="auto"/>
                    <w:left w:val="none" w:sz="0" w:space="0" w:color="auto"/>
                    <w:bottom w:val="none" w:sz="0" w:space="0" w:color="auto"/>
                    <w:right w:val="none" w:sz="0" w:space="0" w:color="auto"/>
                  </w:divBdr>
                  <w:divsChild>
                    <w:div w:id="3841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23695">
      <w:bodyDiv w:val="1"/>
      <w:marLeft w:val="0"/>
      <w:marRight w:val="0"/>
      <w:marTop w:val="0"/>
      <w:marBottom w:val="0"/>
      <w:divBdr>
        <w:top w:val="none" w:sz="0" w:space="0" w:color="auto"/>
        <w:left w:val="none" w:sz="0" w:space="0" w:color="auto"/>
        <w:bottom w:val="none" w:sz="0" w:space="0" w:color="auto"/>
        <w:right w:val="none" w:sz="0" w:space="0" w:color="auto"/>
      </w:divBdr>
    </w:div>
    <w:div w:id="1495993395">
      <w:bodyDiv w:val="1"/>
      <w:marLeft w:val="0"/>
      <w:marRight w:val="0"/>
      <w:marTop w:val="0"/>
      <w:marBottom w:val="0"/>
      <w:divBdr>
        <w:top w:val="none" w:sz="0" w:space="0" w:color="auto"/>
        <w:left w:val="none" w:sz="0" w:space="0" w:color="auto"/>
        <w:bottom w:val="none" w:sz="0" w:space="0" w:color="auto"/>
        <w:right w:val="none" w:sz="0" w:space="0" w:color="auto"/>
      </w:divBdr>
    </w:div>
    <w:div w:id="1596477209">
      <w:bodyDiv w:val="1"/>
      <w:marLeft w:val="0"/>
      <w:marRight w:val="0"/>
      <w:marTop w:val="0"/>
      <w:marBottom w:val="0"/>
      <w:divBdr>
        <w:top w:val="none" w:sz="0" w:space="0" w:color="auto"/>
        <w:left w:val="none" w:sz="0" w:space="0" w:color="auto"/>
        <w:bottom w:val="none" w:sz="0" w:space="0" w:color="auto"/>
        <w:right w:val="none" w:sz="0" w:space="0" w:color="auto"/>
      </w:divBdr>
    </w:div>
    <w:div w:id="1739590130">
      <w:bodyDiv w:val="1"/>
      <w:marLeft w:val="0"/>
      <w:marRight w:val="0"/>
      <w:marTop w:val="0"/>
      <w:marBottom w:val="0"/>
      <w:divBdr>
        <w:top w:val="none" w:sz="0" w:space="0" w:color="auto"/>
        <w:left w:val="none" w:sz="0" w:space="0" w:color="auto"/>
        <w:bottom w:val="none" w:sz="0" w:space="0" w:color="auto"/>
        <w:right w:val="none" w:sz="0" w:space="0" w:color="auto"/>
      </w:divBdr>
    </w:div>
    <w:div w:id="1861624447">
      <w:bodyDiv w:val="1"/>
      <w:marLeft w:val="0"/>
      <w:marRight w:val="0"/>
      <w:marTop w:val="0"/>
      <w:marBottom w:val="0"/>
      <w:divBdr>
        <w:top w:val="none" w:sz="0" w:space="0" w:color="auto"/>
        <w:left w:val="none" w:sz="0" w:space="0" w:color="auto"/>
        <w:bottom w:val="none" w:sz="0" w:space="0" w:color="auto"/>
        <w:right w:val="none" w:sz="0" w:space="0" w:color="auto"/>
      </w:divBdr>
    </w:div>
    <w:div w:id="20921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tichrist\AppData\Roaming\Microsoft\Excel\Kliman-Williams%20paper%20graphs,%204.11%20(version%201).xlsb"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tichrist\AppData\Local\Temp\download.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tichrist\AppData\Local\Temp\Kliman-Williams,%20stuff%20on%20investment%20share,%204.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tichrist\AppData\Local\Temp\download.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tichrist\AppData\Local\Temp\Kliman-Williams,%20stuff%20on%20investment%20share,%204.20.12.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Antichrist\AppData\Local\Temp\Kliman-Williams,%20stuff%20on%20investment%20share,%204.20.12.xlsx" TargetMode="External"/><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tichrist\Desktop\Kliman-Williams%20paper%20graph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tichrist\Desktop\Kliman-Williams%20paper%20graphs,%204.11.1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ntichrist\Desktop\Kliman-Williams%20paper%20graphs,%204.11.1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ntichrist\Desktop\Kliman-Williams%20paper%20graphs,%204.11.1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tichrist\Desktop\fin.%20expend%20funded%20out%20of%20profit,%203.30.12.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Antichrist\Desktop\Kliman-Williams%20paper%20graphs.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ntichrist\Desktop\Kliman-Williams%20paper%20graphs.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ntichrist\Desktop\Kliman-Williams%20paper%20graphs.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31889763779525E-2"/>
          <c:y val="5.4386482939632545E-2"/>
          <c:w val="0.85792366579177604"/>
          <c:h val="0.74193277923592871"/>
        </c:manualLayout>
      </c:layout>
      <c:lineChart>
        <c:grouping val="standard"/>
        <c:varyColors val="0"/>
        <c:ser>
          <c:idx val="0"/>
          <c:order val="0"/>
          <c:tx>
            <c:v> historical-cost depreciation</c:v>
          </c:tx>
          <c:spPr>
            <a:ln>
              <a:solidFill>
                <a:schemeClr val="tx1"/>
              </a:solidFill>
            </a:ln>
          </c:spPr>
          <c:marker>
            <c:symbol val="none"/>
          </c:marker>
          <c:cat>
            <c:numRef>
              <c:f>'prod invest, div., borrow'!$A$6:$A$69</c:f>
              <c:numCache>
                <c:formatCode>General</c:formatCode>
                <c:ptCount val="64"/>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pt idx="61">
                  <c:v>2008</c:v>
                </c:pt>
                <c:pt idx="62">
                  <c:v>2009</c:v>
                </c:pt>
                <c:pt idx="63">
                  <c:v>2010</c:v>
                </c:pt>
              </c:numCache>
            </c:numRef>
          </c:cat>
          <c:val>
            <c:numRef>
              <c:f>'prod invest, div., borrow'!$AA$6:$AA$69</c:f>
              <c:numCache>
                <c:formatCode>0.0%</c:formatCode>
                <c:ptCount val="64"/>
                <c:pt idx="0">
                  <c:v>0.1017838405036726</c:v>
                </c:pt>
                <c:pt idx="1">
                  <c:v>0.10380952380952389</c:v>
                </c:pt>
                <c:pt idx="2">
                  <c:v>7.3339085418464164E-2</c:v>
                </c:pt>
                <c:pt idx="3">
                  <c:v>7.4758842443729795E-2</c:v>
                </c:pt>
                <c:pt idx="4">
                  <c:v>9.1997008227374791E-2</c:v>
                </c:pt>
                <c:pt idx="5">
                  <c:v>8.6301369863013733E-2</c:v>
                </c:pt>
                <c:pt idx="6">
                  <c:v>8.6380832282471676E-2</c:v>
                </c:pt>
                <c:pt idx="7">
                  <c:v>7.0226349390597798E-2</c:v>
                </c:pt>
                <c:pt idx="8">
                  <c:v>7.3210412147505455E-2</c:v>
                </c:pt>
                <c:pt idx="9">
                  <c:v>9.1460333501768604E-2</c:v>
                </c:pt>
                <c:pt idx="10">
                  <c:v>8.9814814814814806E-2</c:v>
                </c:pt>
                <c:pt idx="11">
                  <c:v>5.6499575191163949E-2</c:v>
                </c:pt>
                <c:pt idx="12">
                  <c:v>5.9911540008042018E-2</c:v>
                </c:pt>
                <c:pt idx="13">
                  <c:v>6.5629742033383759E-2</c:v>
                </c:pt>
                <c:pt idx="14">
                  <c:v>5.5535777856888707E-2</c:v>
                </c:pt>
                <c:pt idx="15">
                  <c:v>5.8684654300168511E-2</c:v>
                </c:pt>
                <c:pt idx="16">
                  <c:v>5.6705957311245725E-2</c:v>
                </c:pt>
                <c:pt idx="17">
                  <c:v>6.572203798613202E-2</c:v>
                </c:pt>
                <c:pt idx="18">
                  <c:v>8.0905233380480904E-2</c:v>
                </c:pt>
                <c:pt idx="19">
                  <c:v>9.2122481025909378E-2</c:v>
                </c:pt>
                <c:pt idx="20">
                  <c:v>8.0038341720584591E-2</c:v>
                </c:pt>
                <c:pt idx="21">
                  <c:v>8.1428888395828694E-2</c:v>
                </c:pt>
                <c:pt idx="22">
                  <c:v>8.5350841198194582E-2</c:v>
                </c:pt>
                <c:pt idx="23">
                  <c:v>7.6370510396975441E-2</c:v>
                </c:pt>
                <c:pt idx="24">
                  <c:v>7.0776255707762636E-2</c:v>
                </c:pt>
                <c:pt idx="25">
                  <c:v>7.8071182548794263E-2</c:v>
                </c:pt>
                <c:pt idx="26">
                  <c:v>9.2651757188498607E-2</c:v>
                </c:pt>
                <c:pt idx="27">
                  <c:v>0.10011138958507383</c:v>
                </c:pt>
                <c:pt idx="28">
                  <c:v>8.6571320086065023E-2</c:v>
                </c:pt>
                <c:pt idx="29">
                  <c:v>8.8642981945253344E-2</c:v>
                </c:pt>
                <c:pt idx="30">
                  <c:v>0.10282473785576722</c:v>
                </c:pt>
                <c:pt idx="31">
                  <c:v>0.12224701659066647</c:v>
                </c:pt>
                <c:pt idx="32">
                  <c:v>0.13279156220281829</c:v>
                </c:pt>
                <c:pt idx="33">
                  <c:v>0.12523849500114498</c:v>
                </c:pt>
                <c:pt idx="34">
                  <c:v>0.12744167118827995</c:v>
                </c:pt>
                <c:pt idx="35">
                  <c:v>0.10359140949287142</c:v>
                </c:pt>
                <c:pt idx="36">
                  <c:v>8.3183428727173533E-2</c:v>
                </c:pt>
                <c:pt idx="37">
                  <c:v>9.7981983795481051E-2</c:v>
                </c:pt>
                <c:pt idx="38">
                  <c:v>9.2584104867540554E-2</c:v>
                </c:pt>
                <c:pt idx="39">
                  <c:v>7.2531252621864023E-2</c:v>
                </c:pt>
                <c:pt idx="40">
                  <c:v>6.1016153635545758E-2</c:v>
                </c:pt>
                <c:pt idx="41">
                  <c:v>6.2188963025767853E-2</c:v>
                </c:pt>
                <c:pt idx="42">
                  <c:v>6.4690775317554003E-2</c:v>
                </c:pt>
                <c:pt idx="43">
                  <c:v>6.5030314883629994E-2</c:v>
                </c:pt>
                <c:pt idx="44">
                  <c:v>4.9857680653750652E-2</c:v>
                </c:pt>
                <c:pt idx="45">
                  <c:v>4.597399568538281E-2</c:v>
                </c:pt>
                <c:pt idx="46">
                  <c:v>5.2955767997993224E-2</c:v>
                </c:pt>
                <c:pt idx="47">
                  <c:v>5.7651075994600162E-2</c:v>
                </c:pt>
                <c:pt idx="48">
                  <c:v>6.6421403008233931E-2</c:v>
                </c:pt>
                <c:pt idx="49">
                  <c:v>6.857384243505199E-2</c:v>
                </c:pt>
                <c:pt idx="50">
                  <c:v>6.9773570816770214E-2</c:v>
                </c:pt>
                <c:pt idx="51">
                  <c:v>7.0929993841100325E-2</c:v>
                </c:pt>
                <c:pt idx="52">
                  <c:v>7.115882296558998E-2</c:v>
                </c:pt>
                <c:pt idx="53">
                  <c:v>7.3500724806270887E-2</c:v>
                </c:pt>
                <c:pt idx="54">
                  <c:v>5.1813817017871522E-2</c:v>
                </c:pt>
                <c:pt idx="55">
                  <c:v>3.0241552019273435E-2</c:v>
                </c:pt>
                <c:pt idx="56">
                  <c:v>2.8184615384615391E-2</c:v>
                </c:pt>
                <c:pt idx="57">
                  <c:v>3.3471989466123987E-2</c:v>
                </c:pt>
                <c:pt idx="58">
                  <c:v>4.2595086073347083E-2</c:v>
                </c:pt>
                <c:pt idx="59">
                  <c:v>5.613031342433792E-2</c:v>
                </c:pt>
                <c:pt idx="60">
                  <c:v>6.094434144609677E-2</c:v>
                </c:pt>
                <c:pt idx="61">
                  <c:v>5.446906603212362E-2</c:v>
                </c:pt>
                <c:pt idx="62">
                  <c:v>1.9909970264330244E-2</c:v>
                </c:pt>
                <c:pt idx="63">
                  <c:v>2.3508533367136479E-2</c:v>
                </c:pt>
              </c:numCache>
            </c:numRef>
          </c:val>
          <c:smooth val="0"/>
        </c:ser>
        <c:ser>
          <c:idx val="1"/>
          <c:order val="1"/>
          <c:tx>
            <c:v> current-cost depreciation</c:v>
          </c:tx>
          <c:spPr>
            <a:ln>
              <a:solidFill>
                <a:schemeClr val="tx1"/>
              </a:solidFill>
              <a:prstDash val="sysDash"/>
            </a:ln>
          </c:spPr>
          <c:marker>
            <c:symbol val="none"/>
          </c:marker>
          <c:val>
            <c:numRef>
              <c:f>'prod invest, div., borrow'!$AE$6:$AE$69</c:f>
              <c:numCache>
                <c:formatCode>0.0%</c:formatCode>
                <c:ptCount val="64"/>
                <c:pt idx="0">
                  <c:v>7.1353620146904509E-2</c:v>
                </c:pt>
                <c:pt idx="1">
                  <c:v>7.0476190476190484E-2</c:v>
                </c:pt>
                <c:pt idx="2">
                  <c:v>4.3140638481449521E-2</c:v>
                </c:pt>
                <c:pt idx="3">
                  <c:v>4.6623794212218655E-2</c:v>
                </c:pt>
                <c:pt idx="4">
                  <c:v>6.0583395661929697E-2</c:v>
                </c:pt>
                <c:pt idx="5">
                  <c:v>5.6164383561643834E-2</c:v>
                </c:pt>
                <c:pt idx="6">
                  <c:v>5.9268600252206816E-2</c:v>
                </c:pt>
                <c:pt idx="7">
                  <c:v>4.5850261172373778E-2</c:v>
                </c:pt>
                <c:pt idx="8">
                  <c:v>5.1518438177874187E-2</c:v>
                </c:pt>
                <c:pt idx="9">
                  <c:v>6.5689742294087944E-2</c:v>
                </c:pt>
                <c:pt idx="10">
                  <c:v>6.2962962962962957E-2</c:v>
                </c:pt>
                <c:pt idx="11">
                  <c:v>3.1860662701784198E-2</c:v>
                </c:pt>
                <c:pt idx="12">
                  <c:v>3.6188178528347423E-2</c:v>
                </c:pt>
                <c:pt idx="13">
                  <c:v>4.4006069802731411E-2</c:v>
                </c:pt>
                <c:pt idx="14">
                  <c:v>3.7735849056603779E-2</c:v>
                </c:pt>
                <c:pt idx="15">
                  <c:v>4.3170320404721747E-2</c:v>
                </c:pt>
                <c:pt idx="16">
                  <c:v>4.3644472762026126E-2</c:v>
                </c:pt>
                <c:pt idx="17">
                  <c:v>5.3964425685860726E-2</c:v>
                </c:pt>
                <c:pt idx="18">
                  <c:v>6.9872701555869887E-2</c:v>
                </c:pt>
                <c:pt idx="19">
                  <c:v>7.9560324522376338E-2</c:v>
                </c:pt>
                <c:pt idx="20">
                  <c:v>6.7337646776899129E-2</c:v>
                </c:pt>
                <c:pt idx="21">
                  <c:v>6.7450632349678283E-2</c:v>
                </c:pt>
                <c:pt idx="22">
                  <c:v>6.9963069347558485E-2</c:v>
                </c:pt>
                <c:pt idx="23">
                  <c:v>5.9357277882797745E-2</c:v>
                </c:pt>
                <c:pt idx="24">
                  <c:v>5.2335792061819458E-2</c:v>
                </c:pt>
                <c:pt idx="25">
                  <c:v>5.9865507626701654E-2</c:v>
                </c:pt>
                <c:pt idx="26">
                  <c:v>7.2873877985699068E-2</c:v>
                </c:pt>
                <c:pt idx="27">
                  <c:v>7.29601782233361E-2</c:v>
                </c:pt>
                <c:pt idx="28">
                  <c:v>5.0120237944563974E-2</c:v>
                </c:pt>
                <c:pt idx="29">
                  <c:v>5.1368666278392539E-2</c:v>
                </c:pt>
                <c:pt idx="30">
                  <c:v>6.3556601754761397E-2</c:v>
                </c:pt>
                <c:pt idx="31">
                  <c:v>8.1498011060444353E-2</c:v>
                </c:pt>
                <c:pt idx="32">
                  <c:v>9.0256764934728104E-2</c:v>
                </c:pt>
                <c:pt idx="33">
                  <c:v>7.9981683583912097E-2</c:v>
                </c:pt>
                <c:pt idx="34">
                  <c:v>7.8879544221378176E-2</c:v>
                </c:pt>
                <c:pt idx="35">
                  <c:v>5.7570835589243828E-2</c:v>
                </c:pt>
                <c:pt idx="36">
                  <c:v>4.5407467974925037E-2</c:v>
                </c:pt>
                <c:pt idx="37">
                  <c:v>6.5774243872980739E-2</c:v>
                </c:pt>
                <c:pt idx="38">
                  <c:v>6.4533871115592625E-2</c:v>
                </c:pt>
                <c:pt idx="39">
                  <c:v>4.7193556506418322E-2</c:v>
                </c:pt>
                <c:pt idx="40">
                  <c:v>3.786130558923613E-2</c:v>
                </c:pt>
                <c:pt idx="41">
                  <c:v>3.8485641611678396E-2</c:v>
                </c:pt>
                <c:pt idx="42">
                  <c:v>4.1889359339210099E-2</c:v>
                </c:pt>
                <c:pt idx="43">
                  <c:v>4.2082273942238742E-2</c:v>
                </c:pt>
                <c:pt idx="44">
                  <c:v>2.7637498852263322E-2</c:v>
                </c:pt>
                <c:pt idx="45">
                  <c:v>2.7199580199405288E-2</c:v>
                </c:pt>
                <c:pt idx="46">
                  <c:v>3.4922935421834486E-2</c:v>
                </c:pt>
                <c:pt idx="47">
                  <c:v>4.1239842240398124E-2</c:v>
                </c:pt>
                <c:pt idx="48">
                  <c:v>4.9553269764997361E-2</c:v>
                </c:pt>
                <c:pt idx="49">
                  <c:v>5.3788927741662954E-2</c:v>
                </c:pt>
                <c:pt idx="50">
                  <c:v>5.6903784068697429E-2</c:v>
                </c:pt>
                <c:pt idx="51">
                  <c:v>6.0316156846643411E-2</c:v>
                </c:pt>
                <c:pt idx="52">
                  <c:v>6.1746381673535897E-2</c:v>
                </c:pt>
                <c:pt idx="53">
                  <c:v>6.3335540562306489E-2</c:v>
                </c:pt>
                <c:pt idx="54">
                  <c:v>4.3778340890904245E-2</c:v>
                </c:pt>
                <c:pt idx="55">
                  <c:v>2.0351233119888415E-2</c:v>
                </c:pt>
                <c:pt idx="56">
                  <c:v>1.7953846153846161E-2</c:v>
                </c:pt>
                <c:pt idx="57">
                  <c:v>2.2564041177878854E-2</c:v>
                </c:pt>
                <c:pt idx="58">
                  <c:v>2.9289551028681474E-2</c:v>
                </c:pt>
                <c:pt idx="59">
                  <c:v>3.709155545680521E-2</c:v>
                </c:pt>
                <c:pt idx="60">
                  <c:v>4.2325746518874989E-2</c:v>
                </c:pt>
                <c:pt idx="61">
                  <c:v>3.5073369026373188E-2</c:v>
                </c:pt>
                <c:pt idx="62">
                  <c:v>2.7855153203342406E-3</c:v>
                </c:pt>
                <c:pt idx="63">
                  <c:v>7.9629394885741764E-3</c:v>
                </c:pt>
              </c:numCache>
            </c:numRef>
          </c:val>
          <c:smooth val="0"/>
        </c:ser>
        <c:dLbls>
          <c:showLegendKey val="0"/>
          <c:showVal val="0"/>
          <c:showCatName val="0"/>
          <c:showSerName val="0"/>
          <c:showPercent val="0"/>
          <c:showBubbleSize val="0"/>
        </c:dLbls>
        <c:marker val="1"/>
        <c:smooth val="0"/>
        <c:axId val="251179008"/>
        <c:axId val="251180544"/>
      </c:lineChart>
      <c:catAx>
        <c:axId val="251179008"/>
        <c:scaling>
          <c:orientation val="minMax"/>
        </c:scaling>
        <c:delete val="0"/>
        <c:axPos val="b"/>
        <c:majorGridlines/>
        <c:numFmt formatCode="General" sourceLinked="1"/>
        <c:majorTickMark val="out"/>
        <c:minorTickMark val="none"/>
        <c:tickLblPos val="nextTo"/>
        <c:crossAx val="251180544"/>
        <c:crosses val="autoZero"/>
        <c:auto val="1"/>
        <c:lblAlgn val="ctr"/>
        <c:lblOffset val="100"/>
        <c:tickLblSkip val="10"/>
        <c:tickMarkSkip val="5"/>
        <c:noMultiLvlLbl val="0"/>
      </c:catAx>
      <c:valAx>
        <c:axId val="251180544"/>
        <c:scaling>
          <c:orientation val="minMax"/>
        </c:scaling>
        <c:delete val="0"/>
        <c:axPos val="l"/>
        <c:majorGridlines/>
        <c:numFmt formatCode="0%" sourceLinked="0"/>
        <c:majorTickMark val="out"/>
        <c:minorTickMark val="none"/>
        <c:tickLblPos val="nextTo"/>
        <c:crossAx val="251179008"/>
        <c:crosses val="autoZero"/>
        <c:crossBetween val="midCat"/>
      </c:valAx>
    </c:plotArea>
    <c:legend>
      <c:legendPos val="r"/>
      <c:layout>
        <c:manualLayout>
          <c:xMode val="edge"/>
          <c:yMode val="edge"/>
          <c:x val="0"/>
          <c:y val="0.91796296296296298"/>
          <c:w val="1"/>
          <c:h val="8.0740740740740724E-2"/>
        </c:manualLayout>
      </c:layout>
      <c:overlay val="0"/>
    </c:legend>
    <c:plotVisOnly val="1"/>
    <c:dispBlanksAs val="gap"/>
    <c:showDLblsOverMax val="0"/>
  </c:chart>
  <c:spPr>
    <a:ln>
      <a:noFill/>
    </a:ln>
  </c:spPr>
  <c:txPr>
    <a:bodyPr/>
    <a:lstStyle/>
    <a:p>
      <a:pPr>
        <a:defRPr sz="1000">
          <a:latin typeface="Palatino Linotype"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02405949256338E-2"/>
          <c:y val="4.5132193841623452E-2"/>
          <c:w val="0.88680950938824954"/>
          <c:h val="0.74648689461762485"/>
        </c:manualLayout>
      </c:layout>
      <c:lineChart>
        <c:grouping val="standard"/>
        <c:varyColors val="0"/>
        <c:ser>
          <c:idx val="0"/>
          <c:order val="0"/>
          <c:tx>
            <c:v> after-tax profit</c:v>
          </c:tx>
          <c:spPr>
            <a:ln w="15875">
              <a:solidFill>
                <a:schemeClr val="tx1"/>
              </a:solidFill>
            </a:ln>
          </c:spPr>
          <c:marker>
            <c:symbol val="circle"/>
            <c:size val="6"/>
            <c:spPr>
              <a:solidFill>
                <a:schemeClr val="tx1"/>
              </a:solidFill>
              <a:ln>
                <a:solidFill>
                  <a:schemeClr val="tx1"/>
                </a:solidFill>
              </a:ln>
            </c:spPr>
          </c:marker>
          <c:cat>
            <c:strRef>
              <c:f>'[Kliman-Williams, stuff on investment share, 4.20.12.xlsx]Sheet0'!$E$1:$BK$1</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strCache>
            </c:strRef>
          </c:cat>
          <c:val>
            <c:numRef>
              <c:f>'[Kliman-Williams, stuff on investment share, 4.20.12.xlsx]Sheet0'!$E$77:$BK$77</c:f>
              <c:numCache>
                <c:formatCode>General</c:formatCode>
                <c:ptCount val="59"/>
                <c:pt idx="0">
                  <c:v>0.97381185190018671</c:v>
                </c:pt>
                <c:pt idx="1">
                  <c:v>0.72738457670779677</c:v>
                </c:pt>
                <c:pt idx="2">
                  <c:v>0.96202476274257165</c:v>
                </c:pt>
                <c:pt idx="3">
                  <c:v>1.0300586257285342</c:v>
                </c:pt>
                <c:pt idx="4">
                  <c:v>1.0872043481702283</c:v>
                </c:pt>
                <c:pt idx="5">
                  <c:v>0.89884691052103138</c:v>
                </c:pt>
                <c:pt idx="6">
                  <c:v>1.0310949020119629</c:v>
                </c:pt>
                <c:pt idx="7">
                  <c:v>1.2858418811990027</c:v>
                </c:pt>
                <c:pt idx="8">
                  <c:v>1.1035199052302076</c:v>
                </c:pt>
                <c:pt idx="9">
                  <c:v>0.76455666742826434</c:v>
                </c:pt>
                <c:pt idx="10">
                  <c:v>0.84166303768399586</c:v>
                </c:pt>
                <c:pt idx="11">
                  <c:v>1.0540939393602082</c:v>
                </c:pt>
                <c:pt idx="12">
                  <c:v>0.76441814823858822</c:v>
                </c:pt>
                <c:pt idx="13">
                  <c:v>0.86039489493115839</c:v>
                </c:pt>
                <c:pt idx="14">
                  <c:v>0.88017408791807938</c:v>
                </c:pt>
                <c:pt idx="15">
                  <c:v>0.90703534489009263</c:v>
                </c:pt>
                <c:pt idx="16">
                  <c:v>1.1131001105930309</c:v>
                </c:pt>
                <c:pt idx="17">
                  <c:v>1.2262252577246235</c:v>
                </c:pt>
                <c:pt idx="18">
                  <c:v>0.99517234457922932</c:v>
                </c:pt>
                <c:pt idx="19">
                  <c:v>1.013666850093405</c:v>
                </c:pt>
                <c:pt idx="20">
                  <c:v>1.1708734727345389</c:v>
                </c:pt>
                <c:pt idx="21">
                  <c:v>1.1254157598672421</c:v>
                </c:pt>
                <c:pt idx="22">
                  <c:v>1.1834223197460225</c:v>
                </c:pt>
                <c:pt idx="23">
                  <c:v>1.5612402915948138</c:v>
                </c:pt>
                <c:pt idx="24">
                  <c:v>1.6375945810136003</c:v>
                </c:pt>
                <c:pt idx="25">
                  <c:v>1.6544511599185521</c:v>
                </c:pt>
                <c:pt idx="26">
                  <c:v>1.5306157059852914</c:v>
                </c:pt>
                <c:pt idx="27">
                  <c:v>1.9194173523034768</c:v>
                </c:pt>
                <c:pt idx="28">
                  <c:v>1.6319331073806136</c:v>
                </c:pt>
                <c:pt idx="29">
                  <c:v>1.8334675001786953</c:v>
                </c:pt>
                <c:pt idx="30">
                  <c:v>1.8509808334784617</c:v>
                </c:pt>
                <c:pt idx="31">
                  <c:v>1.7471480239720176</c:v>
                </c:pt>
                <c:pt idx="32">
                  <c:v>2.0392460126382614</c:v>
                </c:pt>
                <c:pt idx="33">
                  <c:v>2.0285417155006278</c:v>
                </c:pt>
                <c:pt idx="34">
                  <c:v>1.3715777563338003</c:v>
                </c:pt>
                <c:pt idx="35">
                  <c:v>1.7299043142111508</c:v>
                </c:pt>
                <c:pt idx="36">
                  <c:v>1.5384897091818126</c:v>
                </c:pt>
                <c:pt idx="37">
                  <c:v>1.1314577552166445</c:v>
                </c:pt>
                <c:pt idx="38">
                  <c:v>0.98980821066774993</c:v>
                </c:pt>
                <c:pt idx="39">
                  <c:v>1.2181432566778856</c:v>
                </c:pt>
                <c:pt idx="40">
                  <c:v>1.2198017673359383</c:v>
                </c:pt>
                <c:pt idx="41">
                  <c:v>1.1103465799633878</c:v>
                </c:pt>
                <c:pt idx="42">
                  <c:v>0.95293783428663836</c:v>
                </c:pt>
                <c:pt idx="43">
                  <c:v>0.90558577788424943</c:v>
                </c:pt>
                <c:pt idx="44">
                  <c:v>0.98189116392357734</c:v>
                </c:pt>
                <c:pt idx="45">
                  <c:v>1.045824829183561</c:v>
                </c:pt>
                <c:pt idx="46">
                  <c:v>1.1980104622377767</c:v>
                </c:pt>
                <c:pt idx="47">
                  <c:v>1.134245396543949</c:v>
                </c:pt>
                <c:pt idx="48">
                  <c:v>1.0931612321965225</c:v>
                </c:pt>
                <c:pt idx="49">
                  <c:v>1.0585174092406133</c:v>
                </c:pt>
                <c:pt idx="50">
                  <c:v>1.0228362075243034</c:v>
                </c:pt>
                <c:pt idx="51">
                  <c:v>1.3021684321530662</c:v>
                </c:pt>
                <c:pt idx="52">
                  <c:v>0.96308846491926259</c:v>
                </c:pt>
                <c:pt idx="53">
                  <c:v>0.66709823619531861</c:v>
                </c:pt>
                <c:pt idx="54">
                  <c:v>0.64889361150784863</c:v>
                </c:pt>
                <c:pt idx="55">
                  <c:v>0.62283724115029893</c:v>
                </c:pt>
                <c:pt idx="56">
                  <c:v>0.7539633316602371</c:v>
                </c:pt>
                <c:pt idx="57">
                  <c:v>0.81311756088426401</c:v>
                </c:pt>
                <c:pt idx="58">
                  <c:v>0.84146825336608377</c:v>
                </c:pt>
              </c:numCache>
            </c:numRef>
          </c:val>
          <c:smooth val="0"/>
        </c:ser>
        <c:ser>
          <c:idx val="1"/>
          <c:order val="1"/>
          <c:tx>
            <c:v> before-tax profit</c:v>
          </c:tx>
          <c:spPr>
            <a:ln w="12700" cmpd="sng">
              <a:solidFill>
                <a:schemeClr val="tx1"/>
              </a:solidFill>
            </a:ln>
          </c:spPr>
          <c:marker>
            <c:symbol val="none"/>
          </c:marker>
          <c:cat>
            <c:strRef>
              <c:f>'[Kliman-Williams, stuff on investment share, 4.20.12.xlsx]Sheet0'!$E$1:$BK$1</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strCache>
            </c:strRef>
          </c:cat>
          <c:val>
            <c:numRef>
              <c:f>'[Kliman-Williams, stuff on investment share, 4.20.12.xlsx]Sheet0'!$E$78:$BK$78</c:f>
              <c:numCache>
                <c:formatCode>General</c:formatCode>
                <c:ptCount val="59"/>
                <c:pt idx="0">
                  <c:v>0.92734186939596952</c:v>
                </c:pt>
                <c:pt idx="1">
                  <c:v>0.77930235410082871</c:v>
                </c:pt>
                <c:pt idx="2">
                  <c:v>1.1038359671197193</c:v>
                </c:pt>
                <c:pt idx="3">
                  <c:v>0.92734186939596985</c:v>
                </c:pt>
                <c:pt idx="4">
                  <c:v>0.88430976408757245</c:v>
                </c:pt>
                <c:pt idx="5">
                  <c:v>0.81507287794367278</c:v>
                </c:pt>
                <c:pt idx="6">
                  <c:v>0.90282081034944195</c:v>
                </c:pt>
                <c:pt idx="7">
                  <c:v>1.2433250248938552</c:v>
                </c:pt>
                <c:pt idx="8">
                  <c:v>1.0666264189495147</c:v>
                </c:pt>
                <c:pt idx="9">
                  <c:v>0.73560518069381986</c:v>
                </c:pt>
                <c:pt idx="10">
                  <c:v>0.82574066856573636</c:v>
                </c:pt>
                <c:pt idx="11">
                  <c:v>1.0531519260755078</c:v>
                </c:pt>
                <c:pt idx="12">
                  <c:v>0.7627346131411501</c:v>
                </c:pt>
                <c:pt idx="13">
                  <c:v>0.86907083631004711</c:v>
                </c:pt>
                <c:pt idx="14">
                  <c:v>0.88745619759399197</c:v>
                </c:pt>
                <c:pt idx="15">
                  <c:v>0.95962275725469137</c:v>
                </c:pt>
                <c:pt idx="16">
                  <c:v>1.1666559002078334</c:v>
                </c:pt>
                <c:pt idx="17">
                  <c:v>1.3074406062511934</c:v>
                </c:pt>
                <c:pt idx="18">
                  <c:v>1.0842433525493129</c:v>
                </c:pt>
                <c:pt idx="19">
                  <c:v>1.100219179100175</c:v>
                </c:pt>
                <c:pt idx="20">
                  <c:v>1.2759896946043783</c:v>
                </c:pt>
                <c:pt idx="21">
                  <c:v>1.14687586296726</c:v>
                </c:pt>
                <c:pt idx="22">
                  <c:v>1.1752162684483538</c:v>
                </c:pt>
                <c:pt idx="23">
                  <c:v>1.5690097031960224</c:v>
                </c:pt>
                <c:pt idx="24">
                  <c:v>1.7165689922861584</c:v>
                </c:pt>
                <c:pt idx="25">
                  <c:v>1.7701561170682372</c:v>
                </c:pt>
                <c:pt idx="26">
                  <c:v>1.5508602412392229</c:v>
                </c:pt>
                <c:pt idx="27">
                  <c:v>1.8048776537348685</c:v>
                </c:pt>
                <c:pt idx="28">
                  <c:v>1.8137901014033799</c:v>
                </c:pt>
                <c:pt idx="29">
                  <c:v>1.9793067568135321</c:v>
                </c:pt>
                <c:pt idx="30">
                  <c:v>2.0406835406765169</c:v>
                </c:pt>
                <c:pt idx="31">
                  <c:v>1.9206159120893413</c:v>
                </c:pt>
                <c:pt idx="32">
                  <c:v>2.179002133299325</c:v>
                </c:pt>
                <c:pt idx="33">
                  <c:v>2.1263418097201865</c:v>
                </c:pt>
                <c:pt idx="34">
                  <c:v>1.6002152574801158</c:v>
                </c:pt>
                <c:pt idx="35">
                  <c:v>2.1701137256177336</c:v>
                </c:pt>
                <c:pt idx="36">
                  <c:v>1.9101603428074716</c:v>
                </c:pt>
                <c:pt idx="37">
                  <c:v>1.3898070721054261</c:v>
                </c:pt>
                <c:pt idx="38">
                  <c:v>1.2197751401835693</c:v>
                </c:pt>
                <c:pt idx="39">
                  <c:v>1.4009782689591106</c:v>
                </c:pt>
                <c:pt idx="40">
                  <c:v>1.3682574495151107</c:v>
                </c:pt>
                <c:pt idx="41">
                  <c:v>1.2791290823542001</c:v>
                </c:pt>
                <c:pt idx="42">
                  <c:v>1.0683450532150154</c:v>
                </c:pt>
                <c:pt idx="43">
                  <c:v>1.0233856739240352</c:v>
                </c:pt>
                <c:pt idx="44">
                  <c:v>1.1658245821696147</c:v>
                </c:pt>
                <c:pt idx="45">
                  <c:v>1.2429234409504124</c:v>
                </c:pt>
                <c:pt idx="46">
                  <c:v>1.3894422213268212</c:v>
                </c:pt>
                <c:pt idx="47">
                  <c:v>1.3278469172043574</c:v>
                </c:pt>
                <c:pt idx="48">
                  <c:v>1.2798284618032116</c:v>
                </c:pt>
                <c:pt idx="49">
                  <c:v>1.2605768493494069</c:v>
                </c:pt>
                <c:pt idx="50">
                  <c:v>1.2355682050243506</c:v>
                </c:pt>
                <c:pt idx="51">
                  <c:v>1.5004306202006226</c:v>
                </c:pt>
                <c:pt idx="52">
                  <c:v>1.1031558548415441</c:v>
                </c:pt>
                <c:pt idx="53">
                  <c:v>0.7267394387215963</c:v>
                </c:pt>
                <c:pt idx="54">
                  <c:v>0.76919271267736788</c:v>
                </c:pt>
                <c:pt idx="55">
                  <c:v>0.80136380189497158</c:v>
                </c:pt>
                <c:pt idx="56">
                  <c:v>0.93156377638161292</c:v>
                </c:pt>
                <c:pt idx="57">
                  <c:v>1.0086964036863584</c:v>
                </c:pt>
                <c:pt idx="58">
                  <c:v>0.98545576568215154</c:v>
                </c:pt>
              </c:numCache>
            </c:numRef>
          </c:val>
          <c:smooth val="0"/>
        </c:ser>
        <c:ser>
          <c:idx val="2"/>
          <c:order val="2"/>
          <c:tx>
            <c:v> net operating surplus</c:v>
          </c:tx>
          <c:spPr>
            <a:ln w="19050">
              <a:solidFill>
                <a:schemeClr val="tx1"/>
              </a:solidFill>
              <a:prstDash val="sysDash"/>
            </a:ln>
          </c:spPr>
          <c:marker>
            <c:symbol val="none"/>
          </c:marker>
          <c:cat>
            <c:strRef>
              <c:f>'[Kliman-Williams, stuff on investment share, 4.20.12.xlsx]Sheet0'!$E$1:$BK$1</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strCache>
            </c:strRef>
          </c:cat>
          <c:val>
            <c:numRef>
              <c:f>'[Kliman-Williams, stuff on investment share, 4.20.12.xlsx]Sheet0'!$E$79:$BK$79</c:f>
              <c:numCache>
                <c:formatCode>General</c:formatCode>
                <c:ptCount val="59"/>
                <c:pt idx="0">
                  <c:v>0.93381869667675699</c:v>
                </c:pt>
                <c:pt idx="1">
                  <c:v>0.79802007103403072</c:v>
                </c:pt>
                <c:pt idx="2">
                  <c:v>1.1289263111871808</c:v>
                </c:pt>
                <c:pt idx="3">
                  <c:v>0.95167111293675422</c:v>
                </c:pt>
                <c:pt idx="4">
                  <c:v>0.9030576101979938</c:v>
                </c:pt>
                <c:pt idx="5">
                  <c:v>0.83161149837307824</c:v>
                </c:pt>
                <c:pt idx="6">
                  <c:v>0.91911898231316291</c:v>
                </c:pt>
                <c:pt idx="7">
                  <c:v>1.2649636456981472</c:v>
                </c:pt>
                <c:pt idx="8">
                  <c:v>1.0820465694343167</c:v>
                </c:pt>
                <c:pt idx="9">
                  <c:v>0.74467958386814093</c:v>
                </c:pt>
                <c:pt idx="10">
                  <c:v>0.82946126797960984</c:v>
                </c:pt>
                <c:pt idx="11">
                  <c:v>1.0497013909579311</c:v>
                </c:pt>
                <c:pt idx="12">
                  <c:v>0.77740831218790407</c:v>
                </c:pt>
                <c:pt idx="13">
                  <c:v>0.88381365304509152</c:v>
                </c:pt>
                <c:pt idx="14">
                  <c:v>0.89010158608994217</c:v>
                </c:pt>
                <c:pt idx="15">
                  <c:v>0.95944182149675594</c:v>
                </c:pt>
                <c:pt idx="16">
                  <c:v>1.1683023508513983</c:v>
                </c:pt>
                <c:pt idx="17">
                  <c:v>1.2988759743268623</c:v>
                </c:pt>
                <c:pt idx="18">
                  <c:v>1.0739584896070129</c:v>
                </c:pt>
                <c:pt idx="19">
                  <c:v>1.0850371875471323</c:v>
                </c:pt>
                <c:pt idx="20">
                  <c:v>1.2311609188934967</c:v>
                </c:pt>
                <c:pt idx="21">
                  <c:v>1.1085465736853042</c:v>
                </c:pt>
                <c:pt idx="22">
                  <c:v>1.0862763916120024</c:v>
                </c:pt>
                <c:pt idx="23">
                  <c:v>1.386101969043088</c:v>
                </c:pt>
                <c:pt idx="24">
                  <c:v>1.5534754490858551</c:v>
                </c:pt>
                <c:pt idx="25">
                  <c:v>1.6253608704634859</c:v>
                </c:pt>
                <c:pt idx="26">
                  <c:v>1.4099690202023649</c:v>
                </c:pt>
                <c:pt idx="27">
                  <c:v>1.5263844393226536</c:v>
                </c:pt>
                <c:pt idx="28">
                  <c:v>1.5536332783899278</c:v>
                </c:pt>
                <c:pt idx="29">
                  <c:v>1.7931388977807334</c:v>
                </c:pt>
                <c:pt idx="30">
                  <c:v>1.8639784237125845</c:v>
                </c:pt>
                <c:pt idx="31">
                  <c:v>1.7408351092951155</c:v>
                </c:pt>
                <c:pt idx="32">
                  <c:v>1.9048311672129667</c:v>
                </c:pt>
                <c:pt idx="33">
                  <c:v>1.6999217156882525</c:v>
                </c:pt>
                <c:pt idx="34">
                  <c:v>1.2359411121375392</c:v>
                </c:pt>
                <c:pt idx="35">
                  <c:v>1.5804490562928732</c:v>
                </c:pt>
                <c:pt idx="36">
                  <c:v>1.4606503719588229</c:v>
                </c:pt>
                <c:pt idx="37">
                  <c:v>1.0604086102279666</c:v>
                </c:pt>
                <c:pt idx="38">
                  <c:v>0.9336600034943453</c:v>
                </c:pt>
                <c:pt idx="39">
                  <c:v>1.0383825159830604</c:v>
                </c:pt>
                <c:pt idx="40">
                  <c:v>1.0561080297389103</c:v>
                </c:pt>
                <c:pt idx="41">
                  <c:v>1.0176152597002217</c:v>
                </c:pt>
                <c:pt idx="42">
                  <c:v>0.80269099841701874</c:v>
                </c:pt>
                <c:pt idx="43">
                  <c:v>0.77614491839778299</c:v>
                </c:pt>
                <c:pt idx="44">
                  <c:v>0.93305603126045655</c:v>
                </c:pt>
                <c:pt idx="45">
                  <c:v>1.047234904118352</c:v>
                </c:pt>
                <c:pt idx="46">
                  <c:v>1.2072582344430427</c:v>
                </c:pt>
                <c:pt idx="47">
                  <c:v>1.1763974477676196</c:v>
                </c:pt>
                <c:pt idx="48">
                  <c:v>1.1619611124194087</c:v>
                </c:pt>
                <c:pt idx="49">
                  <c:v>1.1433869970907777</c:v>
                </c:pt>
                <c:pt idx="50">
                  <c:v>1.1147265181500596</c:v>
                </c:pt>
                <c:pt idx="51">
                  <c:v>1.2440375416794724</c:v>
                </c:pt>
                <c:pt idx="52">
                  <c:v>0.9219831013334292</c:v>
                </c:pt>
                <c:pt idx="53">
                  <c:v>0.57002797370324454</c:v>
                </c:pt>
                <c:pt idx="54">
                  <c:v>0.58789626154969155</c:v>
                </c:pt>
                <c:pt idx="55">
                  <c:v>0.67845241778545828</c:v>
                </c:pt>
                <c:pt idx="56">
                  <c:v>0.82931031528185906</c:v>
                </c:pt>
                <c:pt idx="57">
                  <c:v>0.96225379183086091</c:v>
                </c:pt>
                <c:pt idx="58">
                  <c:v>0.93895608265085662</c:v>
                </c:pt>
              </c:numCache>
            </c:numRef>
          </c:val>
          <c:smooth val="0"/>
        </c:ser>
        <c:ser>
          <c:idx val="3"/>
          <c:order val="3"/>
          <c:tx>
            <c:v> property income</c:v>
          </c:tx>
          <c:spPr>
            <a:ln w="19050">
              <a:solidFill>
                <a:schemeClr val="tx1"/>
              </a:solidFill>
              <a:prstDash val="sysDot"/>
            </a:ln>
          </c:spPr>
          <c:marker>
            <c:symbol val="none"/>
          </c:marker>
          <c:cat>
            <c:strRef>
              <c:f>'[Kliman-Williams, stuff on investment share, 4.20.12.xlsx]Sheet0'!$E$1:$BK$1</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strCache>
            </c:strRef>
          </c:cat>
          <c:val>
            <c:numRef>
              <c:f>'[Kliman-Williams, stuff on investment share, 4.20.12.xlsx]Sheet0'!$E$80:$BK$80</c:f>
              <c:numCache>
                <c:formatCode>General</c:formatCode>
                <c:ptCount val="59"/>
                <c:pt idx="0">
                  <c:v>0.93254330657890661</c:v>
                </c:pt>
                <c:pt idx="1">
                  <c:v>0.831609207513894</c:v>
                </c:pt>
                <c:pt idx="2">
                  <c:v>1.1365325836023246</c:v>
                </c:pt>
                <c:pt idx="3">
                  <c:v>0.98480037731908698</c:v>
                </c:pt>
                <c:pt idx="4">
                  <c:v>0.95100552111355396</c:v>
                </c:pt>
                <c:pt idx="5">
                  <c:v>0.84558583285026323</c:v>
                </c:pt>
                <c:pt idx="6">
                  <c:v>0.91871720961027747</c:v>
                </c:pt>
                <c:pt idx="7">
                  <c:v>1.267014028282955</c:v>
                </c:pt>
                <c:pt idx="8">
                  <c:v>1.1234831912095806</c:v>
                </c:pt>
                <c:pt idx="9">
                  <c:v>0.75446128648941313</c:v>
                </c:pt>
                <c:pt idx="10">
                  <c:v>0.82716803684626683</c:v>
                </c:pt>
                <c:pt idx="11">
                  <c:v>1.0145866918187838</c:v>
                </c:pt>
                <c:pt idx="12">
                  <c:v>0.77405152966687285</c:v>
                </c:pt>
                <c:pt idx="13">
                  <c:v>0.85217904656900934</c:v>
                </c:pt>
                <c:pt idx="14">
                  <c:v>0.85170563255163056</c:v>
                </c:pt>
                <c:pt idx="15">
                  <c:v>0.933526298857</c:v>
                </c:pt>
                <c:pt idx="16">
                  <c:v>1.1412679143424869</c:v>
                </c:pt>
                <c:pt idx="17">
                  <c:v>1.2816394091282453</c:v>
                </c:pt>
                <c:pt idx="18">
                  <c:v>1.0849901379282849</c:v>
                </c:pt>
                <c:pt idx="19">
                  <c:v>1.1138707268525534</c:v>
                </c:pt>
                <c:pt idx="20">
                  <c:v>1.240851615228769</c:v>
                </c:pt>
                <c:pt idx="21">
                  <c:v>1.0943652111909239</c:v>
                </c:pt>
                <c:pt idx="22">
                  <c:v>1.0440452044489112</c:v>
                </c:pt>
                <c:pt idx="23">
                  <c:v>1.2638760625051522</c:v>
                </c:pt>
                <c:pt idx="24">
                  <c:v>1.4347025704701504</c:v>
                </c:pt>
                <c:pt idx="25">
                  <c:v>1.528443303176102</c:v>
                </c:pt>
                <c:pt idx="26">
                  <c:v>1.3240705259299439</c:v>
                </c:pt>
                <c:pt idx="27">
                  <c:v>1.4176850513397738</c:v>
                </c:pt>
                <c:pt idx="28">
                  <c:v>1.5141653058371618</c:v>
                </c:pt>
                <c:pt idx="29">
                  <c:v>1.7747757477430697</c:v>
                </c:pt>
                <c:pt idx="30">
                  <c:v>1.8839996205624525</c:v>
                </c:pt>
                <c:pt idx="31">
                  <c:v>1.7857507321778383</c:v>
                </c:pt>
                <c:pt idx="32">
                  <c:v>1.9478854411850026</c:v>
                </c:pt>
                <c:pt idx="33">
                  <c:v>1.6951125181568756</c:v>
                </c:pt>
                <c:pt idx="34">
                  <c:v>1.2380835616255648</c:v>
                </c:pt>
                <c:pt idx="35">
                  <c:v>1.5610712755780531</c:v>
                </c:pt>
                <c:pt idx="36">
                  <c:v>1.451901987189343</c:v>
                </c:pt>
                <c:pt idx="37">
                  <c:v>1.0754318023870766</c:v>
                </c:pt>
                <c:pt idx="38">
                  <c:v>0.93520066588932915</c:v>
                </c:pt>
                <c:pt idx="39">
                  <c:v>1.0154348096959653</c:v>
                </c:pt>
                <c:pt idx="40">
                  <c:v>1.0399299361370609</c:v>
                </c:pt>
                <c:pt idx="41">
                  <c:v>1.0108825060871443</c:v>
                </c:pt>
                <c:pt idx="42">
                  <c:v>0.79119927522493461</c:v>
                </c:pt>
                <c:pt idx="43">
                  <c:v>0.75042785548719126</c:v>
                </c:pt>
                <c:pt idx="44">
                  <c:v>0.879275177671899</c:v>
                </c:pt>
                <c:pt idx="45">
                  <c:v>0.97473084380866559</c:v>
                </c:pt>
                <c:pt idx="46">
                  <c:v>1.1265265601990015</c:v>
                </c:pt>
                <c:pt idx="47">
                  <c:v>1.1118055016268316</c:v>
                </c:pt>
                <c:pt idx="48">
                  <c:v>1.1270465200373876</c:v>
                </c:pt>
                <c:pt idx="49">
                  <c:v>1.1337738978614591</c:v>
                </c:pt>
                <c:pt idx="50">
                  <c:v>1.1244020464382531</c:v>
                </c:pt>
                <c:pt idx="51">
                  <c:v>1.2411581565737222</c:v>
                </c:pt>
                <c:pt idx="52">
                  <c:v>0.91059801893784831</c:v>
                </c:pt>
                <c:pt idx="53">
                  <c:v>0.55193765407559292</c:v>
                </c:pt>
                <c:pt idx="54">
                  <c:v>0.55748977904180863</c:v>
                </c:pt>
                <c:pt idx="55">
                  <c:v>0.64215043051728782</c:v>
                </c:pt>
                <c:pt idx="56">
                  <c:v>0.79116359090217536</c:v>
                </c:pt>
                <c:pt idx="57">
                  <c:v>0.94846625755394043</c:v>
                </c:pt>
                <c:pt idx="58">
                  <c:v>0.95013524867553367</c:v>
                </c:pt>
              </c:numCache>
            </c:numRef>
          </c:val>
          <c:smooth val="0"/>
        </c:ser>
        <c:ser>
          <c:idx val="4"/>
          <c:order val="4"/>
          <c:spPr>
            <a:ln w="19050">
              <a:solidFill>
                <a:schemeClr val="tx1"/>
              </a:solidFill>
              <a:prstDash val="sysDash"/>
            </a:ln>
          </c:spPr>
          <c:marker>
            <c:symbol val="none"/>
          </c:marker>
          <c:val>
            <c:numRef>
              <c:f>'[Kliman-Williams, stuff on investment share, 4.20.12.xlsx]Sheet0'!$E$119:$BK$119</c:f>
              <c:numCache>
                <c:formatCode>General</c:formatCode>
                <c:ptCount val="5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numCache>
            </c:numRef>
          </c:val>
          <c:smooth val="0"/>
        </c:ser>
        <c:dLbls>
          <c:showLegendKey val="0"/>
          <c:showVal val="0"/>
          <c:showCatName val="0"/>
          <c:showSerName val="0"/>
          <c:showPercent val="0"/>
          <c:showBubbleSize val="0"/>
        </c:dLbls>
        <c:marker val="1"/>
        <c:smooth val="0"/>
        <c:axId val="232637568"/>
        <c:axId val="232639104"/>
      </c:lineChart>
      <c:catAx>
        <c:axId val="232637568"/>
        <c:scaling>
          <c:orientation val="minMax"/>
        </c:scaling>
        <c:delete val="0"/>
        <c:axPos val="b"/>
        <c:majorGridlines/>
        <c:majorTickMark val="out"/>
        <c:minorTickMark val="none"/>
        <c:tickLblPos val="nextTo"/>
        <c:crossAx val="232639104"/>
        <c:crosses val="autoZero"/>
        <c:auto val="1"/>
        <c:lblAlgn val="ctr"/>
        <c:lblOffset val="100"/>
        <c:tickLblSkip val="4"/>
        <c:tickMarkSkip val="2"/>
        <c:noMultiLvlLbl val="0"/>
      </c:catAx>
      <c:valAx>
        <c:axId val="232639104"/>
        <c:scaling>
          <c:orientation val="minMax"/>
          <c:max val="2.25"/>
          <c:min val="0.5"/>
        </c:scaling>
        <c:delete val="0"/>
        <c:axPos val="l"/>
        <c:majorGridlines/>
        <c:numFmt formatCode="0%" sourceLinked="0"/>
        <c:majorTickMark val="out"/>
        <c:minorTickMark val="none"/>
        <c:tickLblPos val="nextTo"/>
        <c:crossAx val="232637568"/>
        <c:crosses val="autoZero"/>
        <c:crossBetween val="midCat"/>
        <c:majorUnit val="0.25"/>
      </c:valAx>
    </c:plotArea>
    <c:legend>
      <c:legendPos val="r"/>
      <c:legendEntry>
        <c:idx val="4"/>
        <c:delete val="1"/>
      </c:legendEntry>
      <c:layout>
        <c:manualLayout>
          <c:xMode val="edge"/>
          <c:yMode val="edge"/>
          <c:x val="7.5198384292872483E-2"/>
          <c:y val="0.89142607174103239"/>
          <c:w val="0.92480161570712749"/>
          <c:h val="0.10688622826256308"/>
        </c:manualLayout>
      </c:layout>
      <c:overlay val="0"/>
    </c:legend>
    <c:plotVisOnly val="1"/>
    <c:dispBlanksAs val="gap"/>
    <c:showDLblsOverMax val="0"/>
  </c:chart>
  <c:spPr>
    <a:ln>
      <a:noFill/>
    </a:ln>
  </c:spPr>
  <c:txPr>
    <a:bodyPr/>
    <a:lstStyle/>
    <a:p>
      <a:pPr>
        <a:defRPr sz="1000">
          <a:latin typeface="Palatino Linotype"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63843584528162E-2"/>
          <c:y val="5.4386482939632545E-2"/>
          <c:w val="0.86986169518033696"/>
          <c:h val="0.73847098899871555"/>
        </c:manualLayout>
      </c:layout>
      <c:lineChart>
        <c:grouping val="standard"/>
        <c:varyColors val="0"/>
        <c:ser>
          <c:idx val="0"/>
          <c:order val="0"/>
          <c:tx>
            <c:v> net investment</c:v>
          </c:tx>
          <c:spPr>
            <a:ln>
              <a:solidFill>
                <a:schemeClr val="tx1"/>
              </a:solidFill>
            </a:ln>
          </c:spPr>
          <c:marker>
            <c:symbol val="none"/>
          </c:marker>
          <c:cat>
            <c:strRef>
              <c:f>Sheet0!$B$350:$L$350</c:f>
              <c:strCache>
                <c:ptCount val="11"/>
                <c:pt idx="0">
                  <c:v>1997</c:v>
                </c:pt>
                <c:pt idx="1">
                  <c:v>1998</c:v>
                </c:pt>
                <c:pt idx="2">
                  <c:v>1999</c:v>
                </c:pt>
                <c:pt idx="3">
                  <c:v>2000</c:v>
                </c:pt>
                <c:pt idx="4">
                  <c:v>2001</c:v>
                </c:pt>
                <c:pt idx="5">
                  <c:v>2002</c:v>
                </c:pt>
                <c:pt idx="6">
                  <c:v>2003</c:v>
                </c:pt>
                <c:pt idx="7">
                  <c:v>2004</c:v>
                </c:pt>
                <c:pt idx="8">
                  <c:v>2005</c:v>
                </c:pt>
                <c:pt idx="9">
                  <c:v>2006</c:v>
                </c:pt>
                <c:pt idx="10">
                  <c:v>2007</c:v>
                </c:pt>
              </c:strCache>
            </c:strRef>
          </c:cat>
          <c:val>
            <c:numRef>
              <c:f>Sheet0!$B$366:$L$366</c:f>
              <c:numCache>
                <c:formatCode>General</c:formatCode>
                <c:ptCount val="11"/>
                <c:pt idx="0">
                  <c:v>0</c:v>
                </c:pt>
                <c:pt idx="1">
                  <c:v>8.7503934529430838E-2</c:v>
                </c:pt>
                <c:pt idx="2">
                  <c:v>0.16839785961599008</c:v>
                </c:pt>
                <c:pt idx="3">
                  <c:v>0.29272898961284244</c:v>
                </c:pt>
                <c:pt idx="4">
                  <c:v>-2.1718602455145231E-2</c:v>
                </c:pt>
                <c:pt idx="5">
                  <c:v>-0.39943342776203872</c:v>
                </c:pt>
                <c:pt idx="6">
                  <c:v>-0.42335536669814311</c:v>
                </c:pt>
                <c:pt idx="7">
                  <c:v>-0.29587661315706659</c:v>
                </c:pt>
                <c:pt idx="8">
                  <c:v>-7.3969153289263789E-2</c:v>
                </c:pt>
                <c:pt idx="9">
                  <c:v>0.27226943657538571</c:v>
                </c:pt>
                <c:pt idx="10">
                  <c:v>0.45892351274787613</c:v>
                </c:pt>
              </c:numCache>
            </c:numRef>
          </c:val>
          <c:smooth val="0"/>
        </c:ser>
        <c:ser>
          <c:idx val="1"/>
          <c:order val="1"/>
          <c:tx>
            <c:v> after-tax profit</c:v>
          </c:tx>
          <c:spPr>
            <a:ln>
              <a:solidFill>
                <a:schemeClr val="tx1"/>
              </a:solidFill>
              <a:prstDash val="sysDash"/>
            </a:ln>
          </c:spPr>
          <c:marker>
            <c:symbol val="none"/>
          </c:marker>
          <c:cat>
            <c:strRef>
              <c:f>Sheet0!$B$350:$L$350</c:f>
              <c:strCache>
                <c:ptCount val="11"/>
                <c:pt idx="0">
                  <c:v>1997</c:v>
                </c:pt>
                <c:pt idx="1">
                  <c:v>1998</c:v>
                </c:pt>
                <c:pt idx="2">
                  <c:v>1999</c:v>
                </c:pt>
                <c:pt idx="3">
                  <c:v>2000</c:v>
                </c:pt>
                <c:pt idx="4">
                  <c:v>2001</c:v>
                </c:pt>
                <c:pt idx="5">
                  <c:v>2002</c:v>
                </c:pt>
                <c:pt idx="6">
                  <c:v>2003</c:v>
                </c:pt>
                <c:pt idx="7">
                  <c:v>2004</c:v>
                </c:pt>
                <c:pt idx="8">
                  <c:v>2005</c:v>
                </c:pt>
                <c:pt idx="9">
                  <c:v>2006</c:v>
                </c:pt>
                <c:pt idx="10">
                  <c:v>2007</c:v>
                </c:pt>
              </c:strCache>
            </c:strRef>
          </c:cat>
          <c:val>
            <c:numRef>
              <c:f>Sheet0!$B$367:$L$367</c:f>
              <c:numCache>
                <c:formatCode>General</c:formatCode>
                <c:ptCount val="11"/>
                <c:pt idx="0">
                  <c:v>0</c:v>
                </c:pt>
                <c:pt idx="1">
                  <c:v>-0.13092818428184227</c:v>
                </c:pt>
                <c:pt idx="2">
                  <c:v>-0.11077235772357596</c:v>
                </c:pt>
                <c:pt idx="3">
                  <c:v>-0.21189024390243894</c:v>
                </c:pt>
                <c:pt idx="4">
                  <c:v>-0.2220528455284535</c:v>
                </c:pt>
                <c:pt idx="5">
                  <c:v>-1.0331978319782276E-2</c:v>
                </c:pt>
                <c:pt idx="6">
                  <c:v>7.5203252032521428E-2</c:v>
                </c:pt>
                <c:pt idx="7">
                  <c:v>0.36974932249322623</c:v>
                </c:pt>
                <c:pt idx="8">
                  <c:v>0.51778455284553115</c:v>
                </c:pt>
                <c:pt idx="9">
                  <c:v>0.71968157181572012</c:v>
                </c:pt>
                <c:pt idx="10">
                  <c:v>0.44969512195122063</c:v>
                </c:pt>
              </c:numCache>
            </c:numRef>
          </c:val>
          <c:smooth val="0"/>
        </c:ser>
        <c:dLbls>
          <c:showLegendKey val="0"/>
          <c:showVal val="0"/>
          <c:showCatName val="0"/>
          <c:showSerName val="0"/>
          <c:showPercent val="0"/>
          <c:showBubbleSize val="0"/>
        </c:dLbls>
        <c:marker val="1"/>
        <c:smooth val="0"/>
        <c:axId val="232800256"/>
        <c:axId val="232801792"/>
      </c:lineChart>
      <c:catAx>
        <c:axId val="232800256"/>
        <c:scaling>
          <c:orientation val="minMax"/>
        </c:scaling>
        <c:delete val="0"/>
        <c:axPos val="b"/>
        <c:majorGridlines/>
        <c:majorTickMark val="out"/>
        <c:minorTickMark val="none"/>
        <c:tickLblPos val="low"/>
        <c:crossAx val="232801792"/>
        <c:crosses val="autoZero"/>
        <c:auto val="1"/>
        <c:lblAlgn val="ctr"/>
        <c:lblOffset val="100"/>
        <c:tickLblSkip val="2"/>
        <c:noMultiLvlLbl val="0"/>
      </c:catAx>
      <c:valAx>
        <c:axId val="232801792"/>
        <c:scaling>
          <c:orientation val="minMax"/>
          <c:max val="0.75000000000000011"/>
          <c:min val="-0.5"/>
        </c:scaling>
        <c:delete val="0"/>
        <c:axPos val="l"/>
        <c:majorGridlines/>
        <c:numFmt formatCode="0%" sourceLinked="0"/>
        <c:majorTickMark val="out"/>
        <c:minorTickMark val="none"/>
        <c:tickLblPos val="nextTo"/>
        <c:crossAx val="232800256"/>
        <c:crosses val="autoZero"/>
        <c:crossBetween val="midCat"/>
        <c:majorUnit val="0.25"/>
      </c:valAx>
    </c:plotArea>
    <c:legend>
      <c:legendPos val="r"/>
      <c:layout>
        <c:manualLayout>
          <c:xMode val="edge"/>
          <c:yMode val="edge"/>
          <c:x val="9.0555555555555303E-3"/>
          <c:y val="0.92022050435184966"/>
          <c:w val="0.9826111111111111"/>
          <c:h val="5.8554216867469873E-2"/>
        </c:manualLayout>
      </c:layout>
      <c:overlay val="0"/>
    </c:legend>
    <c:plotVisOnly val="1"/>
    <c:dispBlanksAs val="gap"/>
    <c:showDLblsOverMax val="0"/>
  </c:chart>
  <c:spPr>
    <a:ln>
      <a:noFill/>
    </a:ln>
  </c:spPr>
  <c:txPr>
    <a:bodyPr/>
    <a:lstStyle/>
    <a:p>
      <a:pPr>
        <a:defRPr sz="1000">
          <a:latin typeface="Palatino Linotype"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69829732821847E-2"/>
          <c:y val="8.3813305945452471E-2"/>
          <c:w val="0.89286863180563969"/>
          <c:h val="0.78768366997603556"/>
        </c:manualLayout>
      </c:layout>
      <c:lineChart>
        <c:grouping val="standard"/>
        <c:varyColors val="0"/>
        <c:ser>
          <c:idx val="0"/>
          <c:order val="0"/>
          <c:tx>
            <c:v> historical cost</c:v>
          </c:tx>
          <c:spPr>
            <a:ln>
              <a:solidFill>
                <a:schemeClr val="tx1"/>
              </a:solidFill>
            </a:ln>
          </c:spPr>
          <c:marker>
            <c:symbol val="none"/>
          </c:marker>
          <c:cat>
            <c:strRef>
              <c:f>'[Kliman-Williams, stuff on investment share, 4.20.12.xlsx]Sheet0'!$C$1:$BK$1</c:f>
              <c:strCache>
                <c:ptCount val="61"/>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strCache>
            </c:strRef>
          </c:cat>
          <c:val>
            <c:numRef>
              <c:f>'[Kliman-Williams, stuff on investment share, 4.20.12.xlsx]Sheet0'!$D$142:$BL$142</c:f>
              <c:numCache>
                <c:formatCode>General</c:formatCode>
                <c:ptCount val="61"/>
                <c:pt idx="0">
                  <c:v>6.2959076600209829E-2</c:v>
                </c:pt>
                <c:pt idx="1">
                  <c:v>6.571428571428567E-2</c:v>
                </c:pt>
                <c:pt idx="2">
                  <c:v>6.6436583261432258E-2</c:v>
                </c:pt>
                <c:pt idx="3">
                  <c:v>6.8327974276527467E-2</c:v>
                </c:pt>
                <c:pt idx="4">
                  <c:v>7.0306656694091169E-2</c:v>
                </c:pt>
                <c:pt idx="5">
                  <c:v>6.9178082191780857E-2</c:v>
                </c:pt>
                <c:pt idx="6">
                  <c:v>6.9987389659520713E-2</c:v>
                </c:pt>
                <c:pt idx="7">
                  <c:v>6.9645966337782972E-2</c:v>
                </c:pt>
                <c:pt idx="8">
                  <c:v>7.10412147505423E-2</c:v>
                </c:pt>
                <c:pt idx="9">
                  <c:v>7.1248105103587714E-2</c:v>
                </c:pt>
                <c:pt idx="10">
                  <c:v>7.1759259259259231E-2</c:v>
                </c:pt>
                <c:pt idx="11">
                  <c:v>7.1792693288020459E-2</c:v>
                </c:pt>
                <c:pt idx="12">
                  <c:v>7.1572175311620301E-2</c:v>
                </c:pt>
                <c:pt idx="13">
                  <c:v>6.9423368740516106E-2</c:v>
                </c:pt>
                <c:pt idx="14">
                  <c:v>6.9775720897116353E-2</c:v>
                </c:pt>
                <c:pt idx="15">
                  <c:v>7.0489038785834804E-2</c:v>
                </c:pt>
                <c:pt idx="16">
                  <c:v>7.1997451417648892E-2</c:v>
                </c:pt>
                <c:pt idx="17">
                  <c:v>7.3258968947844408E-2</c:v>
                </c:pt>
                <c:pt idx="18">
                  <c:v>7.4964639321074902E-2</c:v>
                </c:pt>
                <c:pt idx="19">
                  <c:v>7.4849515833551442E-2</c:v>
                </c:pt>
                <c:pt idx="20">
                  <c:v>7.5485262401150319E-2</c:v>
                </c:pt>
                <c:pt idx="21">
                  <c:v>7.6103838473485716E-2</c:v>
                </c:pt>
                <c:pt idx="22">
                  <c:v>7.7144029544521917E-2</c:v>
                </c:pt>
                <c:pt idx="23">
                  <c:v>7.7504725897920665E-2</c:v>
                </c:pt>
                <c:pt idx="24">
                  <c:v>7.7801194239550273E-2</c:v>
                </c:pt>
                <c:pt idx="25">
                  <c:v>7.9711333442676877E-2</c:v>
                </c:pt>
                <c:pt idx="26">
                  <c:v>8.2002129925452472E-2</c:v>
                </c:pt>
                <c:pt idx="27">
                  <c:v>8.2567529935950998E-2</c:v>
                </c:pt>
                <c:pt idx="28">
                  <c:v>8.3027464877863583E-2</c:v>
                </c:pt>
                <c:pt idx="29">
                  <c:v>8.4449621432731478E-2</c:v>
                </c:pt>
                <c:pt idx="30">
                  <c:v>8.6989086240102695E-2</c:v>
                </c:pt>
                <c:pt idx="31">
                  <c:v>8.9453769283011533E-2</c:v>
                </c:pt>
                <c:pt idx="32">
                  <c:v>9.1553557534365074E-2</c:v>
                </c:pt>
                <c:pt idx="33">
                  <c:v>9.1963672441425545E-2</c:v>
                </c:pt>
                <c:pt idx="34">
                  <c:v>9.2580032555615921E-2</c:v>
                </c:pt>
                <c:pt idx="35">
                  <c:v>9.3184142453227439E-2</c:v>
                </c:pt>
                <c:pt idx="36">
                  <c:v>9.3267920414281863E-2</c:v>
                </c:pt>
                <c:pt idx="37">
                  <c:v>9.5063157365004161E-2</c:v>
                </c:pt>
                <c:pt idx="38">
                  <c:v>9.6479970666422207E-2</c:v>
                </c:pt>
                <c:pt idx="39">
                  <c:v>9.6232905445087821E-2</c:v>
                </c:pt>
                <c:pt idx="40">
                  <c:v>9.6726248679938995E-2</c:v>
                </c:pt>
                <c:pt idx="41">
                  <c:v>9.750433147786329E-2</c:v>
                </c:pt>
                <c:pt idx="42">
                  <c:v>9.8944957312417536E-2</c:v>
                </c:pt>
                <c:pt idx="43">
                  <c:v>9.8637460069104899E-2</c:v>
                </c:pt>
                <c:pt idx="44">
                  <c:v>9.7787163713157751E-2</c:v>
                </c:pt>
                <c:pt idx="45">
                  <c:v>9.8419917205993745E-2</c:v>
                </c:pt>
                <c:pt idx="46">
                  <c:v>9.9055157613088432E-2</c:v>
                </c:pt>
                <c:pt idx="47">
                  <c:v>0.10135260329812867</c:v>
                </c:pt>
                <c:pt idx="48">
                  <c:v>0.10246014465550453</c:v>
                </c:pt>
                <c:pt idx="49">
                  <c:v>0.10396376522494197</c:v>
                </c:pt>
                <c:pt idx="50">
                  <c:v>0.10592317659719327</c:v>
                </c:pt>
                <c:pt idx="51">
                  <c:v>0.10810921781974954</c:v>
                </c:pt>
                <c:pt idx="52">
                  <c:v>0.11055305281318895</c:v>
                </c:pt>
                <c:pt idx="53">
                  <c:v>0.11244340247328959</c:v>
                </c:pt>
                <c:pt idx="54">
                  <c:v>0.11371365697519335</c:v>
                </c:pt>
                <c:pt idx="55">
                  <c:v>0.10991884866544091</c:v>
                </c:pt>
                <c:pt idx="56">
                  <c:v>0.10907692307692311</c:v>
                </c:pt>
                <c:pt idx="57">
                  <c:v>0.11017177400047884</c:v>
                </c:pt>
                <c:pt idx="58">
                  <c:v>0.11162750293185067</c:v>
                </c:pt>
                <c:pt idx="59">
                  <c:v>0.1095388204579856</c:v>
                </c:pt>
                <c:pt idx="60">
                  <c:v>0.10937109647219702</c:v>
                </c:pt>
              </c:numCache>
            </c:numRef>
          </c:val>
          <c:smooth val="0"/>
        </c:ser>
        <c:dLbls>
          <c:showLegendKey val="0"/>
          <c:showVal val="0"/>
          <c:showCatName val="0"/>
          <c:showSerName val="0"/>
          <c:showPercent val="0"/>
          <c:showBubbleSize val="0"/>
        </c:dLbls>
        <c:marker val="1"/>
        <c:smooth val="0"/>
        <c:axId val="232821888"/>
        <c:axId val="232823424"/>
      </c:lineChart>
      <c:catAx>
        <c:axId val="232821888"/>
        <c:scaling>
          <c:orientation val="minMax"/>
        </c:scaling>
        <c:delete val="0"/>
        <c:axPos val="b"/>
        <c:majorGridlines/>
        <c:majorTickMark val="out"/>
        <c:minorTickMark val="none"/>
        <c:tickLblPos val="nextTo"/>
        <c:crossAx val="232823424"/>
        <c:crosses val="autoZero"/>
        <c:auto val="1"/>
        <c:lblAlgn val="ctr"/>
        <c:lblOffset val="100"/>
        <c:tickLblSkip val="10"/>
        <c:tickMarkSkip val="5"/>
        <c:noMultiLvlLbl val="0"/>
      </c:catAx>
      <c:valAx>
        <c:axId val="232823424"/>
        <c:scaling>
          <c:orientation val="minMax"/>
          <c:max val="0.12000000000000001"/>
          <c:min val="6.0000000000000012E-2"/>
        </c:scaling>
        <c:delete val="0"/>
        <c:axPos val="l"/>
        <c:majorGridlines/>
        <c:numFmt formatCode="0%" sourceLinked="0"/>
        <c:majorTickMark val="out"/>
        <c:minorTickMark val="none"/>
        <c:tickLblPos val="nextTo"/>
        <c:crossAx val="232821888"/>
        <c:crosses val="autoZero"/>
        <c:crossBetween val="midCat"/>
        <c:majorUnit val="1.0000000000000002E-2"/>
      </c:valAx>
    </c:plotArea>
    <c:plotVisOnly val="1"/>
    <c:dispBlanksAs val="gap"/>
    <c:showDLblsOverMax val="0"/>
  </c:chart>
  <c:spPr>
    <a:ln>
      <a:noFill/>
    </a:ln>
  </c:spPr>
  <c:txPr>
    <a:bodyPr/>
    <a:lstStyle/>
    <a:p>
      <a:pPr>
        <a:defRPr sz="1000">
          <a:latin typeface="Palatino Linotype"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02405949256338E-2"/>
          <c:y val="5.1400554097404488E-2"/>
          <c:w val="0.88410794804495596"/>
          <c:h val="0.68126035834560772"/>
        </c:manualLayout>
      </c:layout>
      <c:lineChart>
        <c:grouping val="standard"/>
        <c:varyColors val="0"/>
        <c:ser>
          <c:idx val="3"/>
          <c:order val="0"/>
          <c:tx>
            <c:v> gross after-tax profit</c:v>
          </c:tx>
          <c:spPr>
            <a:ln w="12700">
              <a:solidFill>
                <a:schemeClr val="tx1"/>
              </a:solidFill>
            </a:ln>
          </c:spPr>
          <c:marker>
            <c:symbol val="circle"/>
            <c:size val="6"/>
            <c:spPr>
              <a:solidFill>
                <a:schemeClr val="tx1"/>
              </a:solidFill>
              <a:ln>
                <a:solidFill>
                  <a:schemeClr val="tx1"/>
                </a:solidFill>
              </a:ln>
            </c:spPr>
          </c:marker>
          <c:cat>
            <c:strRef>
              <c:f>Sheet0!$E$1:$BK$1</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strCache>
            </c:strRef>
          </c:cat>
          <c:val>
            <c:numRef>
              <c:f>Sheet0!$E$143:$BK$143</c:f>
              <c:numCache>
                <c:formatCode>General</c:formatCode>
                <c:ptCount val="59"/>
                <c:pt idx="0">
                  <c:v>0.99965285191807185</c:v>
                </c:pt>
                <c:pt idx="1">
                  <c:v>0.80098760849414363</c:v>
                </c:pt>
                <c:pt idx="2">
                  <c:v>0.94907479122756622</c:v>
                </c:pt>
                <c:pt idx="3">
                  <c:v>0.99630676994981893</c:v>
                </c:pt>
                <c:pt idx="4">
                  <c:v>1.033870293358266</c:v>
                </c:pt>
                <c:pt idx="5">
                  <c:v>0.93875578968124129</c:v>
                </c:pt>
                <c:pt idx="6">
                  <c:v>1.0233452796689124</c:v>
                </c:pt>
                <c:pt idx="7">
                  <c:v>1.1500481110078007</c:v>
                </c:pt>
                <c:pt idx="8">
                  <c:v>1.0432176740758534</c:v>
                </c:pt>
                <c:pt idx="9">
                  <c:v>0.88782352926872266</c:v>
                </c:pt>
                <c:pt idx="10">
                  <c:v>0.92008847477351896</c:v>
                </c:pt>
                <c:pt idx="11">
                  <c:v>1.0177686584994385</c:v>
                </c:pt>
                <c:pt idx="12">
                  <c:v>0.86031610243019363</c:v>
                </c:pt>
                <c:pt idx="13">
                  <c:v>0.93242600479231275</c:v>
                </c:pt>
                <c:pt idx="14">
                  <c:v>0.9591965895276886</c:v>
                </c:pt>
                <c:pt idx="15">
                  <c:v>0.95771268391270281</c:v>
                </c:pt>
                <c:pt idx="16">
                  <c:v>1.0664765137277163</c:v>
                </c:pt>
                <c:pt idx="17">
                  <c:v>1.1200770382871976</c:v>
                </c:pt>
                <c:pt idx="18">
                  <c:v>0.99749196678963181</c:v>
                </c:pt>
                <c:pt idx="19">
                  <c:v>1.011430067175237</c:v>
                </c:pt>
                <c:pt idx="20">
                  <c:v>1.1055013746233446</c:v>
                </c:pt>
                <c:pt idx="21">
                  <c:v>1.0945364652681868</c:v>
                </c:pt>
                <c:pt idx="22">
                  <c:v>1.1338953615424343</c:v>
                </c:pt>
                <c:pt idx="23">
                  <c:v>1.3235258822944935</c:v>
                </c:pt>
                <c:pt idx="24">
                  <c:v>1.3654197162637427</c:v>
                </c:pt>
                <c:pt idx="25">
                  <c:v>1.3708153396186347</c:v>
                </c:pt>
                <c:pt idx="26">
                  <c:v>1.3193397790122652</c:v>
                </c:pt>
                <c:pt idx="27">
                  <c:v>1.4961796000416419</c:v>
                </c:pt>
                <c:pt idx="28">
                  <c:v>1.3700475782089478</c:v>
                </c:pt>
                <c:pt idx="29">
                  <c:v>1.4757574192065304</c:v>
                </c:pt>
                <c:pt idx="30">
                  <c:v>1.4954310954918986</c:v>
                </c:pt>
                <c:pt idx="31">
                  <c:v>1.44795270180117</c:v>
                </c:pt>
                <c:pt idx="32">
                  <c:v>1.5807597516088219</c:v>
                </c:pt>
                <c:pt idx="33">
                  <c:v>1.5766583232649944</c:v>
                </c:pt>
                <c:pt idx="34">
                  <c:v>1.2708214423934614</c:v>
                </c:pt>
                <c:pt idx="35">
                  <c:v>1.414644978945613</c:v>
                </c:pt>
                <c:pt idx="36">
                  <c:v>1.3365565261061749</c:v>
                </c:pt>
                <c:pt idx="37">
                  <c:v>1.1461924395059091</c:v>
                </c:pt>
                <c:pt idx="38">
                  <c:v>1.0766880980947198</c:v>
                </c:pt>
                <c:pt idx="39">
                  <c:v>1.1875422177841259</c:v>
                </c:pt>
                <c:pt idx="40">
                  <c:v>1.1851495419879177</c:v>
                </c:pt>
                <c:pt idx="41">
                  <c:v>1.1240265226282999</c:v>
                </c:pt>
                <c:pt idx="42">
                  <c:v>1.0676532274194435</c:v>
                </c:pt>
                <c:pt idx="43">
                  <c:v>1.0537325463844185</c:v>
                </c:pt>
                <c:pt idx="44">
                  <c:v>1.0717808337186665</c:v>
                </c:pt>
                <c:pt idx="45">
                  <c:v>1.1069795482778435</c:v>
                </c:pt>
                <c:pt idx="46">
                  <c:v>1.1750840843173969</c:v>
                </c:pt>
                <c:pt idx="47">
                  <c:v>1.1426591307186793</c:v>
                </c:pt>
                <c:pt idx="48">
                  <c:v>1.1303384417041045</c:v>
                </c:pt>
                <c:pt idx="49">
                  <c:v>1.1160737504491187</c:v>
                </c:pt>
                <c:pt idx="50">
                  <c:v>1.1014627307307763</c:v>
                </c:pt>
                <c:pt idx="51">
                  <c:v>1.2456414971012595</c:v>
                </c:pt>
                <c:pt idx="52">
                  <c:v>1.1233826844888961</c:v>
                </c:pt>
                <c:pt idx="53">
                  <c:v>1.0079214499632683</c:v>
                </c:pt>
                <c:pt idx="54">
                  <c:v>0.9743386151575999</c:v>
                </c:pt>
                <c:pt idx="55">
                  <c:v>0.93647009541840098</c:v>
                </c:pt>
                <c:pt idx="56">
                  <c:v>0.98805719549844939</c:v>
                </c:pt>
                <c:pt idx="57">
                  <c:v>0.96249287695204944</c:v>
                </c:pt>
                <c:pt idx="58">
                  <c:v>0.96848807641892598</c:v>
                </c:pt>
              </c:numCache>
            </c:numRef>
          </c:val>
          <c:smooth val="0"/>
        </c:ser>
        <c:ser>
          <c:idx val="2"/>
          <c:order val="1"/>
          <c:tx>
            <c:v> gross before-tax profit</c:v>
          </c:tx>
          <c:spPr>
            <a:ln w="15875" cmpd="dbl">
              <a:solidFill>
                <a:schemeClr val="tx1"/>
              </a:solidFill>
              <a:prstDash val="solid"/>
            </a:ln>
          </c:spPr>
          <c:marker>
            <c:symbol val="none"/>
          </c:marker>
          <c:cat>
            <c:strRef>
              <c:f>Sheet0!$E$1:$BK$1</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strCache>
            </c:strRef>
          </c:cat>
          <c:val>
            <c:numRef>
              <c:f>Sheet0!$E$142:$BK$142</c:f>
              <c:numCache>
                <c:formatCode>General</c:formatCode>
                <c:ptCount val="59"/>
                <c:pt idx="0">
                  <c:v>0.94347655897614002</c:v>
                </c:pt>
                <c:pt idx="1">
                  <c:v>0.81433346666962503</c:v>
                </c:pt>
                <c:pt idx="2">
                  <c:v>1.0286684561331869</c:v>
                </c:pt>
                <c:pt idx="3">
                  <c:v>0.89943859624015277</c:v>
                </c:pt>
                <c:pt idx="4">
                  <c:v>0.86660069120771344</c:v>
                </c:pt>
                <c:pt idx="5">
                  <c:v>0.86016264320835945</c:v>
                </c:pt>
                <c:pt idx="6">
                  <c:v>0.92597161754879487</c:v>
                </c:pt>
                <c:pt idx="7">
                  <c:v>1.1251831555196927</c:v>
                </c:pt>
                <c:pt idx="8">
                  <c:v>1.0051078116076704</c:v>
                </c:pt>
                <c:pt idx="9">
                  <c:v>0.86029565462196322</c:v>
                </c:pt>
                <c:pt idx="10">
                  <c:v>0.91308043442262232</c:v>
                </c:pt>
                <c:pt idx="11">
                  <c:v>1.0432834509090081</c:v>
                </c:pt>
                <c:pt idx="12">
                  <c:v>0.86446758936382928</c:v>
                </c:pt>
                <c:pt idx="13">
                  <c:v>0.94949724272336045</c:v>
                </c:pt>
                <c:pt idx="14">
                  <c:v>0.98296187326279183</c:v>
                </c:pt>
                <c:pt idx="15">
                  <c:v>1.005614630669839</c:v>
                </c:pt>
                <c:pt idx="16">
                  <c:v>1.1132492315133908</c:v>
                </c:pt>
                <c:pt idx="17">
                  <c:v>1.1798740794095659</c:v>
                </c:pt>
                <c:pt idx="18">
                  <c:v>1.0611541907874344</c:v>
                </c:pt>
                <c:pt idx="19">
                  <c:v>1.0729174670765642</c:v>
                </c:pt>
                <c:pt idx="20">
                  <c:v>1.1889966455182124</c:v>
                </c:pt>
                <c:pt idx="21">
                  <c:v>1.1287329791395915</c:v>
                </c:pt>
                <c:pt idx="22">
                  <c:v>1.1669315334704891</c:v>
                </c:pt>
                <c:pt idx="23">
                  <c:v>1.4073567136596952</c:v>
                </c:pt>
                <c:pt idx="24">
                  <c:v>1.4727617769876189</c:v>
                </c:pt>
                <c:pt idx="25">
                  <c:v>1.4894266910129383</c:v>
                </c:pt>
                <c:pt idx="26">
                  <c:v>1.3920048639732274</c:v>
                </c:pt>
                <c:pt idx="27">
                  <c:v>1.5436710655703112</c:v>
                </c:pt>
                <c:pt idx="28">
                  <c:v>1.5279201759736187</c:v>
                </c:pt>
                <c:pt idx="29">
                  <c:v>1.6037505521947966</c:v>
                </c:pt>
                <c:pt idx="30">
                  <c:v>1.6376420607156661</c:v>
                </c:pt>
                <c:pt idx="31">
                  <c:v>1.5826294169885378</c:v>
                </c:pt>
                <c:pt idx="32">
                  <c:v>1.7210064987171607</c:v>
                </c:pt>
                <c:pt idx="33">
                  <c:v>1.7353305355437219</c:v>
                </c:pt>
                <c:pt idx="34">
                  <c:v>1.4779489069907881</c:v>
                </c:pt>
                <c:pt idx="35">
                  <c:v>1.7397495235288634</c:v>
                </c:pt>
                <c:pt idx="36">
                  <c:v>1.6263632567063098</c:v>
                </c:pt>
                <c:pt idx="37">
                  <c:v>1.379503809830066</c:v>
                </c:pt>
                <c:pt idx="38">
                  <c:v>1.3064966908222682</c:v>
                </c:pt>
                <c:pt idx="39">
                  <c:v>1.4080824855496736</c:v>
                </c:pt>
                <c:pt idx="40">
                  <c:v>1.3811025879063776</c:v>
                </c:pt>
                <c:pt idx="41">
                  <c:v>1.3189023569084253</c:v>
                </c:pt>
                <c:pt idx="42">
                  <c:v>1.2476822392776252</c:v>
                </c:pt>
                <c:pt idx="43">
                  <c:v>1.2425086138938932</c:v>
                </c:pt>
                <c:pt idx="44">
                  <c:v>1.2945489594956614</c:v>
                </c:pt>
                <c:pt idx="45">
                  <c:v>1.335603961418405</c:v>
                </c:pt>
                <c:pt idx="46">
                  <c:v>1.3959698648009371</c:v>
                </c:pt>
                <c:pt idx="47">
                  <c:v>1.3553935849872178</c:v>
                </c:pt>
                <c:pt idx="48">
                  <c:v>1.3342092753197947</c:v>
                </c:pt>
                <c:pt idx="49">
                  <c:v>1.3271674615377764</c:v>
                </c:pt>
                <c:pt idx="50">
                  <c:v>1.3192916596646658</c:v>
                </c:pt>
                <c:pt idx="51">
                  <c:v>1.4797645570636915</c:v>
                </c:pt>
                <c:pt idx="52">
                  <c:v>1.3388552263979467</c:v>
                </c:pt>
                <c:pt idx="53">
                  <c:v>1.1939955365255606</c:v>
                </c:pt>
                <c:pt idx="54">
                  <c:v>1.217204271384279</c:v>
                </c:pt>
                <c:pt idx="55">
                  <c:v>1.197983976207148</c:v>
                </c:pt>
                <c:pt idx="56">
                  <c:v>1.2308828515351071</c:v>
                </c:pt>
                <c:pt idx="57">
                  <c:v>1.18232593593145</c:v>
                </c:pt>
                <c:pt idx="58">
                  <c:v>1.1427154374572626</c:v>
                </c:pt>
              </c:numCache>
            </c:numRef>
          </c:val>
          <c:smooth val="0"/>
        </c:ser>
        <c:ser>
          <c:idx val="1"/>
          <c:order val="2"/>
          <c:tx>
            <c:v> gross operating surplus</c:v>
          </c:tx>
          <c:spPr>
            <a:ln w="19050">
              <a:solidFill>
                <a:schemeClr val="tx1"/>
              </a:solidFill>
              <a:prstDash val="sysDash"/>
            </a:ln>
          </c:spPr>
          <c:marker>
            <c:symbol val="none"/>
          </c:marker>
          <c:cat>
            <c:strRef>
              <c:f>Sheet0!$E$1:$BK$1</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strCache>
            </c:strRef>
          </c:cat>
          <c:val>
            <c:numRef>
              <c:f>Sheet0!$E$141:$BK$141</c:f>
              <c:numCache>
                <c:formatCode>General</c:formatCode>
                <c:ptCount val="59"/>
                <c:pt idx="0">
                  <c:v>0.94665955259421408</c:v>
                </c:pt>
                <c:pt idx="1">
                  <c:v>0.82803636541410408</c:v>
                </c:pt>
                <c:pt idx="2">
                  <c:v>1.0454204728394116</c:v>
                </c:pt>
                <c:pt idx="3">
                  <c:v>0.91638259462211802</c:v>
                </c:pt>
                <c:pt idx="4">
                  <c:v>0.87929426608001893</c:v>
                </c:pt>
                <c:pt idx="5">
                  <c:v>0.87244723585164663</c:v>
                </c:pt>
                <c:pt idx="6">
                  <c:v>0.93784521784007868</c:v>
                </c:pt>
                <c:pt idx="7">
                  <c:v>1.1395303773283623</c:v>
                </c:pt>
                <c:pt idx="8">
                  <c:v>1.01500517313481</c:v>
                </c:pt>
                <c:pt idx="9">
                  <c:v>0.8676515474459866</c:v>
                </c:pt>
                <c:pt idx="10">
                  <c:v>0.91585110561629657</c:v>
                </c:pt>
                <c:pt idx="11">
                  <c:v>1.0417644535503561</c:v>
                </c:pt>
                <c:pt idx="12">
                  <c:v>0.87690569082411463</c:v>
                </c:pt>
                <c:pt idx="13">
                  <c:v>0.96172575237024971</c:v>
                </c:pt>
                <c:pt idx="14">
                  <c:v>0.98569705991768619</c:v>
                </c:pt>
                <c:pt idx="15">
                  <c:v>1.00555311923026</c:v>
                </c:pt>
                <c:pt idx="16">
                  <c:v>1.1145500288021624</c:v>
                </c:pt>
                <c:pt idx="17">
                  <c:v>1.17389464442198</c:v>
                </c:pt>
                <c:pt idx="18">
                  <c:v>1.0529255349334108</c:v>
                </c:pt>
                <c:pt idx="19">
                  <c:v>1.0609759784402402</c:v>
                </c:pt>
                <c:pt idx="20">
                  <c:v>1.1579218002387919</c:v>
                </c:pt>
                <c:pt idx="21">
                  <c:v>1.1008298225881292</c:v>
                </c:pt>
                <c:pt idx="22">
                  <c:v>1.1031322059155722</c:v>
                </c:pt>
                <c:pt idx="23">
                  <c:v>1.2954288614447143</c:v>
                </c:pt>
                <c:pt idx="24">
                  <c:v>1.3756521093394405</c:v>
                </c:pt>
                <c:pt idx="25">
                  <c:v>1.4042027507106944</c:v>
                </c:pt>
                <c:pt idx="26">
                  <c:v>1.3037243581461937</c:v>
                </c:pt>
                <c:pt idx="27">
                  <c:v>1.3798294214369815</c:v>
                </c:pt>
                <c:pt idx="28">
                  <c:v>1.3709175888180702</c:v>
                </c:pt>
                <c:pt idx="29">
                  <c:v>1.4951944580243035</c:v>
                </c:pt>
                <c:pt idx="30">
                  <c:v>1.5339254067948711</c:v>
                </c:pt>
                <c:pt idx="31">
                  <c:v>1.4738474215990889</c:v>
                </c:pt>
                <c:pt idx="32">
                  <c:v>1.5668181574569544</c:v>
                </c:pt>
                <c:pt idx="33">
                  <c:v>1.4948218182648687</c:v>
                </c:pt>
                <c:pt idx="34">
                  <c:v>1.2391172550535667</c:v>
                </c:pt>
                <c:pt idx="35">
                  <c:v>1.4179562841668902</c:v>
                </c:pt>
                <c:pt idx="36">
                  <c:v>1.3648971179486666</c:v>
                </c:pt>
                <c:pt idx="37">
                  <c:v>1.1509251677505359</c:v>
                </c:pt>
                <c:pt idx="38">
                  <c:v>1.0985118617788712</c:v>
                </c:pt>
                <c:pt idx="39">
                  <c:v>1.1706906028655832</c:v>
                </c:pt>
                <c:pt idx="40">
                  <c:v>1.1758429374293258</c:v>
                </c:pt>
                <c:pt idx="41">
                  <c:v>1.141082130254603</c:v>
                </c:pt>
                <c:pt idx="42">
                  <c:v>1.0453669867722308</c:v>
                </c:pt>
                <c:pt idx="43">
                  <c:v>1.0514193887205163</c:v>
                </c:pt>
                <c:pt idx="44">
                  <c:v>1.1346184375011197</c:v>
                </c:pt>
                <c:pt idx="45">
                  <c:v>1.2088826386975866</c:v>
                </c:pt>
                <c:pt idx="46">
                  <c:v>1.2866180585912905</c:v>
                </c:pt>
                <c:pt idx="47">
                  <c:v>1.2616407197811412</c:v>
                </c:pt>
                <c:pt idx="48">
                  <c:v>1.2596933500921017</c:v>
                </c:pt>
                <c:pt idx="49">
                  <c:v>1.2514503498823923</c:v>
                </c:pt>
                <c:pt idx="50">
                  <c:v>1.2393323526055604</c:v>
                </c:pt>
                <c:pt idx="51">
                  <c:v>1.3254892192512484</c:v>
                </c:pt>
                <c:pt idx="52">
                  <c:v>1.2093904654796641</c:v>
                </c:pt>
                <c:pt idx="53">
                  <c:v>1.0470027419911996</c:v>
                </c:pt>
                <c:pt idx="54">
                  <c:v>1.0651486888511985</c:v>
                </c:pt>
                <c:pt idx="55">
                  <c:v>1.1017010188998011</c:v>
                </c:pt>
                <c:pt idx="56">
                  <c:v>1.160460044218145</c:v>
                </c:pt>
                <c:pt idx="57">
                  <c:v>1.1555968957790825</c:v>
                </c:pt>
                <c:pt idx="58">
                  <c:v>1.1133682466747954</c:v>
                </c:pt>
              </c:numCache>
            </c:numRef>
          </c:val>
          <c:smooth val="0"/>
        </c:ser>
        <c:ser>
          <c:idx val="0"/>
          <c:order val="3"/>
          <c:tx>
            <c:v> gross property income</c:v>
          </c:tx>
          <c:spPr>
            <a:ln w="19050">
              <a:solidFill>
                <a:schemeClr val="tx1"/>
              </a:solidFill>
              <a:prstDash val="sysDot"/>
            </a:ln>
          </c:spPr>
          <c:marker>
            <c:symbol val="none"/>
          </c:marker>
          <c:cat>
            <c:strRef>
              <c:f>Sheet0!$E$1:$BK$1</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strCache>
            </c:strRef>
          </c:cat>
          <c:val>
            <c:numRef>
              <c:f>Sheet0!$E$140:$BK$140</c:f>
              <c:numCache>
                <c:formatCode>General</c:formatCode>
                <c:ptCount val="59"/>
                <c:pt idx="0">
                  <c:v>0.93424058552946043</c:v>
                </c:pt>
                <c:pt idx="1">
                  <c:v>0.84389221614698218</c:v>
                </c:pt>
                <c:pt idx="2">
                  <c:v>1.0424550905345069</c:v>
                </c:pt>
                <c:pt idx="3">
                  <c:v>0.93142722722219584</c:v>
                </c:pt>
                <c:pt idx="4">
                  <c:v>0.90599683811450848</c:v>
                </c:pt>
                <c:pt idx="5">
                  <c:v>0.87662941418716656</c:v>
                </c:pt>
                <c:pt idx="6">
                  <c:v>0.93272297574140151</c:v>
                </c:pt>
                <c:pt idx="7">
                  <c:v>1.1417365277282698</c:v>
                </c:pt>
                <c:pt idx="8">
                  <c:v>1.0407010015381508</c:v>
                </c:pt>
                <c:pt idx="9">
                  <c:v>0.87478987165808397</c:v>
                </c:pt>
                <c:pt idx="10">
                  <c:v>0.9157724159736611</c:v>
                </c:pt>
                <c:pt idx="11">
                  <c:v>1.0265112606434812</c:v>
                </c:pt>
                <c:pt idx="12">
                  <c:v>0.87711631914489496</c:v>
                </c:pt>
                <c:pt idx="13">
                  <c:v>0.93956604297759938</c:v>
                </c:pt>
                <c:pt idx="14">
                  <c:v>0.96037311358698763</c:v>
                </c:pt>
                <c:pt idx="15">
                  <c:v>0.98907028384006468</c:v>
                </c:pt>
                <c:pt idx="16">
                  <c:v>1.1001213196300952</c:v>
                </c:pt>
                <c:pt idx="17">
                  <c:v>1.1662163911229775</c:v>
                </c:pt>
                <c:pt idx="18">
                  <c:v>1.0634680549114397</c:v>
                </c:pt>
                <c:pt idx="19">
                  <c:v>1.085441075116589</c:v>
                </c:pt>
                <c:pt idx="20">
                  <c:v>1.1732521390083261</c:v>
                </c:pt>
                <c:pt idx="21">
                  <c:v>1.0973294951176411</c:v>
                </c:pt>
                <c:pt idx="22">
                  <c:v>1.0811703405255126</c:v>
                </c:pt>
                <c:pt idx="23">
                  <c:v>1.2325267893725658</c:v>
                </c:pt>
                <c:pt idx="24">
                  <c:v>1.3162884023596946</c:v>
                </c:pt>
                <c:pt idx="25">
                  <c:v>1.3601800830280595</c:v>
                </c:pt>
                <c:pt idx="26">
                  <c:v>1.2625406434353801</c:v>
                </c:pt>
                <c:pt idx="27">
                  <c:v>1.3317067255161934</c:v>
                </c:pt>
                <c:pt idx="28">
                  <c:v>1.3630331940316354</c:v>
                </c:pt>
                <c:pt idx="29">
                  <c:v>1.5023438800375697</c:v>
                </c:pt>
                <c:pt idx="30">
                  <c:v>1.5630980020709624</c:v>
                </c:pt>
                <c:pt idx="31">
                  <c:v>1.5191127432981095</c:v>
                </c:pt>
                <c:pt idx="32">
                  <c:v>1.6198735793969288</c:v>
                </c:pt>
                <c:pt idx="33">
                  <c:v>1.5253480046141712</c:v>
                </c:pt>
                <c:pt idx="34">
                  <c:v>1.2627176134057536</c:v>
                </c:pt>
                <c:pt idx="35">
                  <c:v>1.4419467889264241</c:v>
                </c:pt>
                <c:pt idx="36">
                  <c:v>1.3931651780708247</c:v>
                </c:pt>
                <c:pt idx="37">
                  <c:v>1.1878860691250201</c:v>
                </c:pt>
                <c:pt idx="38">
                  <c:v>1.1293277207346903</c:v>
                </c:pt>
                <c:pt idx="39">
                  <c:v>1.1918303891595503</c:v>
                </c:pt>
                <c:pt idx="40">
                  <c:v>1.2025846662703066</c:v>
                </c:pt>
                <c:pt idx="41">
                  <c:v>1.1714633169129103</c:v>
                </c:pt>
                <c:pt idx="42">
                  <c:v>1.0701724633788228</c:v>
                </c:pt>
                <c:pt idx="43">
                  <c:v>1.0659124821258079</c:v>
                </c:pt>
                <c:pt idx="44">
                  <c:v>1.1336424007058226</c:v>
                </c:pt>
                <c:pt idx="45">
                  <c:v>1.2005827447055157</c:v>
                </c:pt>
                <c:pt idx="46">
                  <c:v>1.2796819493392886</c:v>
                </c:pt>
                <c:pt idx="47">
                  <c:v>1.2612920457638979</c:v>
                </c:pt>
                <c:pt idx="48">
                  <c:v>1.2806457911810036</c:v>
                </c:pt>
                <c:pt idx="49">
                  <c:v>1.2910795889745328</c:v>
                </c:pt>
                <c:pt idx="50">
                  <c:v>1.2936799434270476</c:v>
                </c:pt>
                <c:pt idx="51">
                  <c:v>1.3826081670066457</c:v>
                </c:pt>
                <c:pt idx="52">
                  <c:v>1.2594327091723105</c:v>
                </c:pt>
                <c:pt idx="53">
                  <c:v>1.0837786998191068</c:v>
                </c:pt>
                <c:pt idx="54">
                  <c:v>1.1026418871071573</c:v>
                </c:pt>
                <c:pt idx="55">
                  <c:v>1.1346449965001439</c:v>
                </c:pt>
                <c:pt idx="56">
                  <c:v>1.1957883850298403</c:v>
                </c:pt>
                <c:pt idx="57">
                  <c:v>1.2041184234700986</c:v>
                </c:pt>
                <c:pt idx="58">
                  <c:v>1.1714227201277265</c:v>
                </c:pt>
              </c:numCache>
            </c:numRef>
          </c:val>
          <c:smooth val="0"/>
        </c:ser>
        <c:ser>
          <c:idx val="4"/>
          <c:order val="4"/>
          <c:spPr>
            <a:ln w="19050">
              <a:solidFill>
                <a:schemeClr val="tx1"/>
              </a:solidFill>
              <a:prstDash val="sysDash"/>
            </a:ln>
          </c:spPr>
          <c:marker>
            <c:symbol val="none"/>
          </c:marker>
          <c:val>
            <c:numRef>
              <c:f>Sheet0!$E$144:$BK$144</c:f>
              <c:numCache>
                <c:formatCode>General</c:formatCode>
                <c:ptCount val="5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numCache>
            </c:numRef>
          </c:val>
          <c:smooth val="0"/>
        </c:ser>
        <c:dLbls>
          <c:showLegendKey val="0"/>
          <c:showVal val="0"/>
          <c:showCatName val="0"/>
          <c:showSerName val="0"/>
          <c:showPercent val="0"/>
          <c:showBubbleSize val="0"/>
        </c:dLbls>
        <c:marker val="1"/>
        <c:smooth val="0"/>
        <c:axId val="250582144"/>
        <c:axId val="250583680"/>
      </c:lineChart>
      <c:catAx>
        <c:axId val="250582144"/>
        <c:scaling>
          <c:orientation val="minMax"/>
        </c:scaling>
        <c:delete val="0"/>
        <c:axPos val="b"/>
        <c:majorGridlines/>
        <c:majorTickMark val="out"/>
        <c:minorTickMark val="none"/>
        <c:tickLblPos val="nextTo"/>
        <c:txPr>
          <a:bodyPr rot="5400000" vert="horz"/>
          <a:lstStyle/>
          <a:p>
            <a:pPr>
              <a:defRPr/>
            </a:pPr>
            <a:endParaRPr lang="en-US"/>
          </a:p>
        </c:txPr>
        <c:crossAx val="250583680"/>
        <c:crosses val="autoZero"/>
        <c:auto val="1"/>
        <c:lblAlgn val="ctr"/>
        <c:lblOffset val="100"/>
        <c:tickLblSkip val="4"/>
        <c:tickMarkSkip val="2"/>
        <c:noMultiLvlLbl val="0"/>
      </c:catAx>
      <c:valAx>
        <c:axId val="250583680"/>
        <c:scaling>
          <c:orientation val="minMax"/>
          <c:max val="1.8"/>
          <c:min val="0.8"/>
        </c:scaling>
        <c:delete val="0"/>
        <c:axPos val="l"/>
        <c:majorGridlines/>
        <c:numFmt formatCode="0%" sourceLinked="0"/>
        <c:majorTickMark val="out"/>
        <c:minorTickMark val="none"/>
        <c:tickLblPos val="nextTo"/>
        <c:crossAx val="250582144"/>
        <c:crosses val="autoZero"/>
        <c:crossBetween val="midCat"/>
        <c:majorUnit val="0.2"/>
      </c:valAx>
    </c:plotArea>
    <c:legend>
      <c:legendPos val="r"/>
      <c:legendEntry>
        <c:idx val="4"/>
        <c:delete val="1"/>
      </c:legendEntry>
      <c:layout>
        <c:manualLayout>
          <c:xMode val="edge"/>
          <c:yMode val="edge"/>
          <c:x val="6.5290901137357832E-2"/>
          <c:y val="0.88310817492937577"/>
          <c:w val="0.91804243219597548"/>
          <c:h val="9.8892370667888446E-2"/>
        </c:manualLayout>
      </c:layout>
      <c:overlay val="0"/>
    </c:legend>
    <c:plotVisOnly val="1"/>
    <c:dispBlanksAs val="gap"/>
    <c:showDLblsOverMax val="0"/>
  </c:chart>
  <c:spPr>
    <a:ln>
      <a:noFill/>
    </a:ln>
  </c:spPr>
  <c:txPr>
    <a:bodyPr/>
    <a:lstStyle/>
    <a:p>
      <a:pPr>
        <a:defRPr sz="1000">
          <a:latin typeface="Palatino Linotype"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208907047098854E-2"/>
          <c:y val="2.4716045109745899E-2"/>
          <c:w val="0.91417790806270482"/>
          <c:h val="0.72296559083960654"/>
        </c:manualLayout>
      </c:layout>
      <c:lineChart>
        <c:grouping val="standard"/>
        <c:varyColors val="0"/>
        <c:ser>
          <c:idx val="0"/>
          <c:order val="0"/>
          <c:tx>
            <c:v> rate of profit (left-hand axis)</c:v>
          </c:tx>
          <c:spPr>
            <a:ln w="28575">
              <a:solidFill>
                <a:schemeClr val="tx1"/>
              </a:solidFill>
            </a:ln>
          </c:spPr>
          <c:marker>
            <c:symbol val="none"/>
          </c:marker>
          <c:cat>
            <c:strRef>
              <c:f>Sheet0!$C$1:$BK$1</c:f>
              <c:strCache>
                <c:ptCount val="61"/>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strCache>
            </c:strRef>
          </c:cat>
          <c:val>
            <c:numRef>
              <c:f>Sheet0!$C$518:$BK$518</c:f>
              <c:numCache>
                <c:formatCode>General</c:formatCode>
                <c:ptCount val="61"/>
                <c:pt idx="0">
                  <c:v>-0.24782064734845399</c:v>
                </c:pt>
                <c:pt idx="1">
                  <c:v>0</c:v>
                </c:pt>
                <c:pt idx="2">
                  <c:v>-9.4046591889559328E-2</c:v>
                </c:pt>
                <c:pt idx="3">
                  <c:v>-0.19247000989364416</c:v>
                </c:pt>
                <c:pt idx="4">
                  <c:v>-0.22598670962545153</c:v>
                </c:pt>
                <c:pt idx="5">
                  <c:v>-0.24278846153846123</c:v>
                </c:pt>
                <c:pt idx="6">
                  <c:v>-0.32204263265108168</c:v>
                </c:pt>
                <c:pt idx="7">
                  <c:v>-0.32907161033974708</c:v>
                </c:pt>
                <c:pt idx="8">
                  <c:v>-0.21705531453362226</c:v>
                </c:pt>
                <c:pt idx="9">
                  <c:v>-0.27811734753371908</c:v>
                </c:pt>
                <c:pt idx="10">
                  <c:v>-0.32692307692307743</c:v>
                </c:pt>
                <c:pt idx="11">
                  <c:v>-0.42742712894582047</c:v>
                </c:pt>
                <c:pt idx="12">
                  <c:v>-0.32611116266122253</c:v>
                </c:pt>
                <c:pt idx="13">
                  <c:v>-0.36994791058713827</c:v>
                </c:pt>
                <c:pt idx="14">
                  <c:v>-0.40875140345592331</c:v>
                </c:pt>
                <c:pt idx="15">
                  <c:v>-0.33430081722661886</c:v>
                </c:pt>
                <c:pt idx="16">
                  <c:v>-0.32778077290660856</c:v>
                </c:pt>
                <c:pt idx="17">
                  <c:v>-0.28928190440852486</c:v>
                </c:pt>
                <c:pt idx="18">
                  <c:v>-0.22029702970297027</c:v>
                </c:pt>
                <c:pt idx="19">
                  <c:v>-0.22184838846053179</c:v>
                </c:pt>
                <c:pt idx="20">
                  <c:v>-0.30079356301498672</c:v>
                </c:pt>
                <c:pt idx="21">
                  <c:v>-0.34588930040449894</c:v>
                </c:pt>
                <c:pt idx="22">
                  <c:v>-0.42621366118493742</c:v>
                </c:pt>
                <c:pt idx="23">
                  <c:v>-0.52668314672095429</c:v>
                </c:pt>
                <c:pt idx="24">
                  <c:v>-0.46363074491367373</c:v>
                </c:pt>
                <c:pt idx="25">
                  <c:v>-0.41463172304159757</c:v>
                </c:pt>
                <c:pt idx="26">
                  <c:v>-0.44166257065617931</c:v>
                </c:pt>
                <c:pt idx="27">
                  <c:v>-0.54664304993252399</c:v>
                </c:pt>
                <c:pt idx="28">
                  <c:v>-0.38791827714116034</c:v>
                </c:pt>
                <c:pt idx="29">
                  <c:v>-0.34260337798485718</c:v>
                </c:pt>
                <c:pt idx="30" formatCode="0%">
                  <c:v>-0.27082133039226997</c:v>
                </c:pt>
                <c:pt idx="31" formatCode="0%">
                  <c:v>-0.25162884074303526</c:v>
                </c:pt>
                <c:pt idx="32" formatCode="0.0%">
                  <c:v>-0.3458055409620211</c:v>
                </c:pt>
                <c:pt idx="33" formatCode="0%">
                  <c:v>-0.46795434398464208</c:v>
                </c:pt>
                <c:pt idx="34" formatCode="0%">
                  <c:v>-0.38028898326307436</c:v>
                </c:pt>
                <c:pt idx="35" formatCode="0%">
                  <c:v>-0.44396144822511852</c:v>
                </c:pt>
                <c:pt idx="36" formatCode="0%">
                  <c:v>-0.41222718409962955</c:v>
                </c:pt>
                <c:pt idx="37" formatCode="0%">
                  <c:v>-0.36845054447339065</c:v>
                </c:pt>
                <c:pt idx="38" formatCode="0%">
                  <c:v>-0.40676188327210416</c:v>
                </c:pt>
                <c:pt idx="39" formatCode="0%">
                  <c:v>-0.52289129508799936</c:v>
                </c:pt>
                <c:pt idx="40" formatCode="0%">
                  <c:v>-0.50915167087381308</c:v>
                </c:pt>
                <c:pt idx="41" formatCode="0%">
                  <c:v>-0.45605747608825642</c:v>
                </c:pt>
                <c:pt idx="42" formatCode="0%">
                  <c:v>-0.51278191424040676</c:v>
                </c:pt>
                <c:pt idx="43" formatCode="0%">
                  <c:v>-0.53382873971324951</c:v>
                </c:pt>
                <c:pt idx="44" formatCode="0%">
                  <c:v>-0.51362451706772783</c:v>
                </c:pt>
                <c:pt idx="45" formatCode="0%">
                  <c:v>-0.50140269910254176</c:v>
                </c:pt>
                <c:pt idx="46" formatCode="0%">
                  <c:v>-0.49292708183702927</c:v>
                </c:pt>
                <c:pt idx="47" formatCode="0%">
                  <c:v>-0.43999337238636949</c:v>
                </c:pt>
                <c:pt idx="48" formatCode="0%">
                  <c:v>-0.40267518351458542</c:v>
                </c:pt>
                <c:pt idx="49" formatCode="0%">
                  <c:v>-0.37093031232455331</c:v>
                </c:pt>
                <c:pt idx="50" formatCode="0%">
                  <c:v>-0.3454451462928837</c:v>
                </c:pt>
                <c:pt idx="51" formatCode="0%">
                  <c:v>-0.46824712189883622</c:v>
                </c:pt>
                <c:pt idx="52" formatCode="0%">
                  <c:v>-0.49195046782030361</c:v>
                </c:pt>
                <c:pt idx="53" formatCode="0%">
                  <c:v>-0.57963559383866525</c:v>
                </c:pt>
                <c:pt idx="54" formatCode="0%">
                  <c:v>-0.61346663597472095</c:v>
                </c:pt>
                <c:pt idx="55" formatCode="0%">
                  <c:v>-0.5324936051870528</c:v>
                </c:pt>
                <c:pt idx="56" formatCode="0%">
                  <c:v>-0.50699704142011837</c:v>
                </c:pt>
                <c:pt idx="57" formatCode="0%">
                  <c:v>-0.38915791721146942</c:v>
                </c:pt>
                <c:pt idx="58" formatCode="0%">
                  <c:v>-0.34506338143461834</c:v>
                </c:pt>
                <c:pt idx="59" formatCode="0%">
                  <c:v>-0.28825977975587047</c:v>
                </c:pt>
                <c:pt idx="60" formatCode="0%">
                  <c:v>-0.4318897297330101</c:v>
                </c:pt>
              </c:numCache>
            </c:numRef>
          </c:val>
          <c:smooth val="0"/>
        </c:ser>
        <c:ser>
          <c:idx val="1"/>
          <c:order val="1"/>
          <c:tx>
            <c:v> rate of accumulation (left-hand axis)</c:v>
          </c:tx>
          <c:spPr>
            <a:ln w="28575">
              <a:solidFill>
                <a:schemeClr val="tx1"/>
              </a:solidFill>
              <a:prstDash val="sysDash"/>
            </a:ln>
          </c:spPr>
          <c:marker>
            <c:symbol val="none"/>
          </c:marker>
          <c:cat>
            <c:strRef>
              <c:f>Sheet0!$C$1:$BK$1</c:f>
              <c:strCache>
                <c:ptCount val="61"/>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strCache>
            </c:strRef>
          </c:cat>
          <c:val>
            <c:numRef>
              <c:f>Sheet0!$C$519:$BK$519</c:f>
              <c:numCache>
                <c:formatCode>General</c:formatCode>
                <c:ptCount val="61"/>
                <c:pt idx="0">
                  <c:v>-1.9513463038016376E-2</c:v>
                </c:pt>
                <c:pt idx="1">
                  <c:v>0</c:v>
                </c:pt>
                <c:pt idx="2">
                  <c:v>-0.29352257165699669</c:v>
                </c:pt>
                <c:pt idx="3">
                  <c:v>-0.27984601315673197</c:v>
                </c:pt>
                <c:pt idx="4">
                  <c:v>-0.11379028771794952</c:v>
                </c:pt>
                <c:pt idx="5">
                  <c:v>-0.16865652884252935</c:v>
                </c:pt>
                <c:pt idx="6">
                  <c:v>-0.16789106516885077</c:v>
                </c:pt>
                <c:pt idx="7">
                  <c:v>-0.32350764348506789</c:v>
                </c:pt>
                <c:pt idx="8">
                  <c:v>-0.29476208481760868</c:v>
                </c:pt>
                <c:pt idx="9">
                  <c:v>-0.11896009012057884</c:v>
                </c:pt>
                <c:pt idx="10">
                  <c:v>-0.13481141692150878</c:v>
                </c:pt>
                <c:pt idx="11">
                  <c:v>-0.45573803714933891</c:v>
                </c:pt>
                <c:pt idx="12">
                  <c:v>-0.42287048616106404</c:v>
                </c:pt>
                <c:pt idx="13">
                  <c:v>-0.36778688866923959</c:v>
                </c:pt>
                <c:pt idx="14">
                  <c:v>-0.46502232339694438</c:v>
                </c:pt>
                <c:pt idx="15">
                  <c:v>-0.43468910995250498</c:v>
                </c:pt>
                <c:pt idx="16">
                  <c:v>-0.45374995250634942</c:v>
                </c:pt>
                <c:pt idx="17">
                  <c:v>-0.36689779921615906</c:v>
                </c:pt>
                <c:pt idx="18">
                  <c:v>-0.2206376600962846</c:v>
                </c:pt>
                <c:pt idx="19">
                  <c:v>-0.11258160479628598</c:v>
                </c:pt>
                <c:pt idx="20">
                  <c:v>-0.2289884513154693</c:v>
                </c:pt>
                <c:pt idx="21">
                  <c:v>-0.21559327692091668</c:v>
                </c:pt>
                <c:pt idx="22">
                  <c:v>-0.17781299763207126</c:v>
                </c:pt>
                <c:pt idx="23">
                  <c:v>-0.26432077140528343</c:v>
                </c:pt>
                <c:pt idx="24">
                  <c:v>-0.31821038079678188</c:v>
                </c:pt>
                <c:pt idx="25">
                  <c:v>-0.24793814975932105</c:v>
                </c:pt>
                <c:pt idx="26">
                  <c:v>-0.10748307295483095</c:v>
                </c:pt>
                <c:pt idx="27">
                  <c:v>-3.5624228767638599E-2</c:v>
                </c:pt>
                <c:pt idx="28">
                  <c:v>-0.16605609091405293</c:v>
                </c:pt>
                <c:pt idx="29">
                  <c:v>-0.14609971520627529</c:v>
                </c:pt>
                <c:pt idx="30" formatCode="0.0%">
                  <c:v>-9.486470196738539E-3</c:v>
                </c:pt>
                <c:pt idx="31" formatCode="0.0%">
                  <c:v>0.17760887541467696</c:v>
                </c:pt>
                <c:pt idx="32" formatCode="0.0%">
                  <c:v>0.27918477351338655</c:v>
                </c:pt>
                <c:pt idx="33" formatCode="0.0%">
                  <c:v>0.20642586927708328</c:v>
                </c:pt>
                <c:pt idx="34" formatCode="0.0%">
                  <c:v>0.22764912612563104</c:v>
                </c:pt>
                <c:pt idx="35" formatCode="0.0%">
                  <c:v>-2.1011012154600328E-3</c:v>
                </c:pt>
                <c:pt idx="36" formatCode="0.0%">
                  <c:v>-0.19869174161897074</c:v>
                </c:pt>
                <c:pt idx="37" formatCode="0%">
                  <c:v>-5.6136853346284488E-2</c:v>
                </c:pt>
                <c:pt idx="38" formatCode="0%">
                  <c:v>-0.10813476962460977</c:v>
                </c:pt>
                <c:pt idx="39" formatCode="0%">
                  <c:v>-0.30130444722057559</c:v>
                </c:pt>
                <c:pt idx="40" formatCode="0%">
                  <c:v>-0.41222971268510933</c:v>
                </c:pt>
                <c:pt idx="41" formatCode="0%">
                  <c:v>-0.40093200754994363</c:v>
                </c:pt>
                <c:pt idx="42" formatCode="0%">
                  <c:v>-0.37683198088594805</c:v>
                </c:pt>
                <c:pt idx="43" formatCode="0%">
                  <c:v>-0.37356118690081275</c:v>
                </c:pt>
                <c:pt idx="44" formatCode="0%">
                  <c:v>-0.5197195900326772</c:v>
                </c:pt>
                <c:pt idx="45" formatCode="0%">
                  <c:v>-0.55713123422337629</c:v>
                </c:pt>
                <c:pt idx="46" formatCode="0%">
                  <c:v>-0.48987562937712947</c:v>
                </c:pt>
                <c:pt idx="47" formatCode="0%">
                  <c:v>-0.44464559821715532</c:v>
                </c:pt>
                <c:pt idx="48" formatCode="0%">
                  <c:v>-0.36016079670967294</c:v>
                </c:pt>
                <c:pt idx="49" formatCode="0%">
                  <c:v>-0.33942628846968359</c:v>
                </c:pt>
                <c:pt idx="50" formatCode="0%">
                  <c:v>-0.32786927194854421</c:v>
                </c:pt>
                <c:pt idx="51" formatCode="0%">
                  <c:v>-0.31672941712701497</c:v>
                </c:pt>
                <c:pt idx="52" formatCode="0%">
                  <c:v>-0.31452509987275801</c:v>
                </c:pt>
                <c:pt idx="53" formatCode="0%">
                  <c:v>-0.29196549498546431</c:v>
                </c:pt>
                <c:pt idx="54" formatCode="0%">
                  <c:v>-0.50087607459848615</c:v>
                </c:pt>
                <c:pt idx="55" formatCode="0%">
                  <c:v>-0.70868229706204466</c:v>
                </c:pt>
                <c:pt idx="56" formatCode="0%">
                  <c:v>-0.7284968242766412</c:v>
                </c:pt>
                <c:pt idx="57" formatCode="0%">
                  <c:v>-0.67756340422541128</c:v>
                </c:pt>
                <c:pt idx="58" formatCode="0%">
                  <c:v>-0.58968036351362962</c:v>
                </c:pt>
                <c:pt idx="59" formatCode="0%">
                  <c:v>-0.45929514591234144</c:v>
                </c:pt>
                <c:pt idx="60" formatCode="0%">
                  <c:v>-0.41292148148255414</c:v>
                </c:pt>
              </c:numCache>
            </c:numRef>
          </c:val>
          <c:smooth val="0"/>
        </c:ser>
        <c:dLbls>
          <c:showLegendKey val="0"/>
          <c:showVal val="0"/>
          <c:showCatName val="0"/>
          <c:showSerName val="0"/>
          <c:showPercent val="0"/>
          <c:showBubbleSize val="0"/>
        </c:dLbls>
        <c:marker val="1"/>
        <c:smooth val="0"/>
        <c:axId val="251011840"/>
        <c:axId val="251013376"/>
      </c:lineChart>
      <c:lineChart>
        <c:grouping val="standard"/>
        <c:varyColors val="0"/>
        <c:ser>
          <c:idx val="2"/>
          <c:order val="2"/>
          <c:tx>
            <c:v> investment share (right-hand axis)</c:v>
          </c:tx>
          <c:spPr>
            <a:ln>
              <a:solidFill>
                <a:schemeClr val="tx1"/>
              </a:solidFill>
              <a:prstDash val="sysDot"/>
            </a:ln>
          </c:spPr>
          <c:marker>
            <c:symbol val="none"/>
          </c:marker>
          <c:cat>
            <c:strRef>
              <c:f>Sheet0!$C$1:$BK$1</c:f>
              <c:strCache>
                <c:ptCount val="61"/>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strCache>
            </c:strRef>
          </c:cat>
          <c:val>
            <c:numRef>
              <c:f>Sheet0!$C$520:$BK$520</c:f>
              <c:numCache>
                <c:formatCode>General</c:formatCode>
                <c:ptCount val="61"/>
                <c:pt idx="0">
                  <c:v>0.30352758754360964</c:v>
                </c:pt>
                <c:pt idx="1">
                  <c:v>0</c:v>
                </c:pt>
                <c:pt idx="2">
                  <c:v>-0.22018348623853323</c:v>
                </c:pt>
                <c:pt idx="3">
                  <c:v>-0.10820155824996658</c:v>
                </c:pt>
                <c:pt idx="4">
                  <c:v>0.14495412844036526</c:v>
                </c:pt>
                <c:pt idx="5">
                  <c:v>9.7901219052405342E-2</c:v>
                </c:pt>
                <c:pt idx="6">
                  <c:v>0.22737649136408766</c:v>
                </c:pt>
                <c:pt idx="7">
                  <c:v>8.2929369816899801E-3</c:v>
                </c:pt>
                <c:pt idx="8">
                  <c:v>-9.9249374478733166E-2</c:v>
                </c:pt>
                <c:pt idx="9">
                  <c:v>0.22047524880863456</c:v>
                </c:pt>
                <c:pt idx="10">
                  <c:v>0.28542303771661626</c:v>
                </c:pt>
                <c:pt idx="11">
                  <c:v>-4.9445074390958244E-2</c:v>
                </c:pt>
                <c:pt idx="12">
                  <c:v>-0.14358350834530687</c:v>
                </c:pt>
                <c:pt idx="13">
                  <c:v>3.4299099300068026E-3</c:v>
                </c:pt>
                <c:pt idx="14">
                  <c:v>-9.5173029196063852E-2</c:v>
                </c:pt>
                <c:pt idx="15">
                  <c:v>-0.15080128581149332</c:v>
                </c:pt>
                <c:pt idx="16">
                  <c:v>-0.18739300294104799</c:v>
                </c:pt>
                <c:pt idx="17">
                  <c:v>-0.10920770877944319</c:v>
                </c:pt>
                <c:pt idx="18">
                  <c:v>-4.3687199650499497E-4</c:v>
                </c:pt>
                <c:pt idx="19">
                  <c:v>0.1404183735455824</c:v>
                </c:pt>
                <c:pt idx="20">
                  <c:v>0.10269515253483918</c:v>
                </c:pt>
                <c:pt idx="21">
                  <c:v>0.19919567676259775</c:v>
                </c:pt>
                <c:pt idx="22">
                  <c:v>0.43291491405292626</c:v>
                </c:pt>
                <c:pt idx="23">
                  <c:v>0.55430600769458316</c:v>
                </c:pt>
                <c:pt idx="24">
                  <c:v>0.27111987262112391</c:v>
                </c:pt>
                <c:pt idx="25">
                  <c:v>0.28476700881097128</c:v>
                </c:pt>
                <c:pt idx="26">
                  <c:v>0.59852605277437476</c:v>
                </c:pt>
                <c:pt idx="27">
                  <c:v>1.1271886779034208</c:v>
                </c:pt>
                <c:pt idx="28">
                  <c:v>0.36247150983509102</c:v>
                </c:pt>
                <c:pt idx="29">
                  <c:v>0.29891188393428547</c:v>
                </c:pt>
                <c:pt idx="30" formatCode="0%">
                  <c:v>0.35839619435949688</c:v>
                </c:pt>
                <c:pt idx="31" formatCode="0%">
                  <c:v>0.57356261107642026</c:v>
                </c:pt>
                <c:pt idx="32" formatCode="0.0%">
                  <c:v>0.95535861828374768</c:v>
                </c:pt>
                <c:pt idx="33" formatCode="0%">
                  <c:v>1.2675232015093427</c:v>
                </c:pt>
                <c:pt idx="34" formatCode="0%">
                  <c:v>0.98100258502711468</c:v>
                </c:pt>
                <c:pt idx="35" formatCode="0%">
                  <c:v>0.79465775457337484</c:v>
                </c:pt>
                <c:pt idx="36" formatCode="0%">
                  <c:v>0.36329588014981251</c:v>
                </c:pt>
                <c:pt idx="37" formatCode="0%">
                  <c:v>0.49451976942437126</c:v>
                </c:pt>
                <c:pt idx="38" formatCode="0%">
                  <c:v>0.50338490603844233</c:v>
                </c:pt>
                <c:pt idx="39" formatCode="0%">
                  <c:v>0.46443681615135035</c:v>
                </c:pt>
                <c:pt idx="40" formatCode="0%">
                  <c:v>0.19745805870674005</c:v>
                </c:pt>
                <c:pt idx="41" formatCode="0%">
                  <c:v>0.10134428935961814</c:v>
                </c:pt>
                <c:pt idx="42" formatCode="0%">
                  <c:v>0.27903301894572974</c:v>
                </c:pt>
                <c:pt idx="43" formatCode="0%">
                  <c:v>0.34379543842718485</c:v>
                </c:pt>
                <c:pt idx="44" formatCode="0%">
                  <c:v>-1.2531620484246386E-2</c:v>
                </c:pt>
                <c:pt idx="45" formatCode="0%">
                  <c:v>-0.11177063137029652</c:v>
                </c:pt>
                <c:pt idx="46" formatCode="0%">
                  <c:v>6.0177784113468746E-3</c:v>
                </c:pt>
                <c:pt idx="47" formatCode="0%">
                  <c:v>-8.3074478075563229E-3</c:v>
                </c:pt>
                <c:pt idx="48" formatCode="0%">
                  <c:v>7.1174653440756019E-2</c:v>
                </c:pt>
                <c:pt idx="49" formatCode="0%">
                  <c:v>5.0080340019694969E-2</c:v>
                </c:pt>
                <c:pt idx="50" formatCode="0%">
                  <c:v>2.6851644663235197E-2</c:v>
                </c:pt>
                <c:pt idx="51" formatCode="0%">
                  <c:v>0.28494007463180226</c:v>
                </c:pt>
                <c:pt idx="52" formatCode="0%">
                  <c:v>0.34922848405416995</c:v>
                </c:pt>
                <c:pt idx="53" formatCode="0%">
                  <c:v>0.68433505462589928</c:v>
                </c:pt>
                <c:pt idx="54" formatCode="0%">
                  <c:v>0.29128290557829151</c:v>
                </c:pt>
                <c:pt idx="55" formatCode="0%">
                  <c:v>-0.37686905212384592</c:v>
                </c:pt>
                <c:pt idx="56" formatCode="0%">
                  <c:v>-0.4492869241486166</c:v>
                </c:pt>
                <c:pt idx="57" formatCode="0%">
                  <c:v>-0.47214410260889961</c:v>
                </c:pt>
                <c:pt idx="58" formatCode="0%">
                  <c:v>-0.37349718300197843</c:v>
                </c:pt>
                <c:pt idx="59" formatCode="0%">
                  <c:v>-0.2403058887100763</c:v>
                </c:pt>
                <c:pt idx="60" formatCode="0%">
                  <c:v>3.338832132279812E-2</c:v>
                </c:pt>
              </c:numCache>
            </c:numRef>
          </c:val>
          <c:smooth val="0"/>
        </c:ser>
        <c:dLbls>
          <c:showLegendKey val="0"/>
          <c:showVal val="0"/>
          <c:showCatName val="0"/>
          <c:showSerName val="0"/>
          <c:showPercent val="0"/>
          <c:showBubbleSize val="0"/>
        </c:dLbls>
        <c:marker val="1"/>
        <c:smooth val="0"/>
        <c:axId val="251028992"/>
        <c:axId val="251027456"/>
      </c:lineChart>
      <c:catAx>
        <c:axId val="251011840"/>
        <c:scaling>
          <c:orientation val="minMax"/>
        </c:scaling>
        <c:delete val="0"/>
        <c:axPos val="b"/>
        <c:majorGridlines>
          <c:spPr>
            <a:ln>
              <a:solidFill>
                <a:schemeClr val="bg1">
                  <a:lumMod val="65000"/>
                </a:schemeClr>
              </a:solidFill>
            </a:ln>
          </c:spPr>
        </c:majorGridlines>
        <c:majorTickMark val="out"/>
        <c:minorTickMark val="none"/>
        <c:tickLblPos val="low"/>
        <c:spPr>
          <a:ln w="15875">
            <a:solidFill>
              <a:schemeClr val="tx1"/>
            </a:solidFill>
          </a:ln>
        </c:spPr>
        <c:crossAx val="251013376"/>
        <c:crosses val="autoZero"/>
        <c:auto val="1"/>
        <c:lblAlgn val="ctr"/>
        <c:lblOffset val="100"/>
        <c:tickLblSkip val="10"/>
        <c:tickMarkSkip val="5"/>
        <c:noMultiLvlLbl val="0"/>
      </c:catAx>
      <c:valAx>
        <c:axId val="251013376"/>
        <c:scaling>
          <c:orientation val="minMax"/>
          <c:max val="0.70000000000000007"/>
          <c:min val="-0.8"/>
        </c:scaling>
        <c:delete val="0"/>
        <c:axPos val="l"/>
        <c:majorGridlines>
          <c:spPr>
            <a:ln>
              <a:solidFill>
                <a:schemeClr val="bg1">
                  <a:lumMod val="65000"/>
                </a:schemeClr>
              </a:solidFill>
            </a:ln>
          </c:spPr>
        </c:majorGridlines>
        <c:numFmt formatCode="0%" sourceLinked="0"/>
        <c:majorTickMark val="out"/>
        <c:minorTickMark val="none"/>
        <c:tickLblPos val="nextTo"/>
        <c:spPr>
          <a:ln>
            <a:solidFill>
              <a:schemeClr val="bg1">
                <a:lumMod val="65000"/>
              </a:schemeClr>
            </a:solidFill>
          </a:ln>
        </c:spPr>
        <c:crossAx val="251011840"/>
        <c:crosses val="autoZero"/>
        <c:crossBetween val="midCat"/>
        <c:majorUnit val="0.2"/>
      </c:valAx>
      <c:valAx>
        <c:axId val="251027456"/>
        <c:scaling>
          <c:orientation val="minMax"/>
          <c:max val="1.4"/>
          <c:min val="-1.6"/>
        </c:scaling>
        <c:delete val="0"/>
        <c:axPos val="r"/>
        <c:numFmt formatCode="0%" sourceLinked="0"/>
        <c:majorTickMark val="out"/>
        <c:minorTickMark val="none"/>
        <c:tickLblPos val="nextTo"/>
        <c:crossAx val="251028992"/>
        <c:crosses val="max"/>
        <c:crossBetween val="between"/>
        <c:majorUnit val="0.4"/>
      </c:valAx>
      <c:catAx>
        <c:axId val="251028992"/>
        <c:scaling>
          <c:orientation val="minMax"/>
        </c:scaling>
        <c:delete val="1"/>
        <c:axPos val="b"/>
        <c:majorTickMark val="out"/>
        <c:minorTickMark val="none"/>
        <c:tickLblPos val="nextTo"/>
        <c:crossAx val="251027456"/>
        <c:crosses val="autoZero"/>
        <c:auto val="1"/>
        <c:lblAlgn val="ctr"/>
        <c:lblOffset val="100"/>
        <c:noMultiLvlLbl val="0"/>
      </c:catAx>
    </c:plotArea>
    <c:legend>
      <c:legendPos val="r"/>
      <c:layout>
        <c:manualLayout>
          <c:xMode val="edge"/>
          <c:yMode val="edge"/>
          <c:x val="7.629425037684795E-2"/>
          <c:y val="0.86294338207724031"/>
          <c:w val="0.8309590195399178"/>
          <c:h val="0.13563871823714344"/>
        </c:manualLayout>
      </c:layout>
      <c:overlay val="0"/>
    </c:legend>
    <c:plotVisOnly val="1"/>
    <c:dispBlanksAs val="gap"/>
    <c:showDLblsOverMax val="0"/>
  </c:chart>
  <c:spPr>
    <a:ln>
      <a:noFill/>
    </a:ln>
  </c:spPr>
  <c:txPr>
    <a:bodyPr/>
    <a:lstStyle/>
    <a:p>
      <a:pPr>
        <a:defRPr>
          <a:latin typeface="Palatino Linotype"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54248139896394E-2"/>
          <c:y val="6.5231223321284129E-2"/>
          <c:w val="0.91960316252208374"/>
          <c:h val="0.83040322806624256"/>
        </c:manualLayout>
      </c:layout>
      <c:lineChart>
        <c:grouping val="standard"/>
        <c:varyColors val="0"/>
        <c:ser>
          <c:idx val="0"/>
          <c:order val="0"/>
          <c:spPr>
            <a:ln>
              <a:solidFill>
                <a:prstClr val="black"/>
              </a:solidFill>
            </a:ln>
          </c:spPr>
          <c:marker>
            <c:symbol val="none"/>
          </c:marker>
          <c:cat>
            <c:strRef>
              <c:f>'fin asset pct, NFCs'!$A$7:$A$72</c:f>
              <c:strCache>
                <c:ptCount val="66"/>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strCache>
            </c:strRef>
          </c:cat>
          <c:val>
            <c:numRef>
              <c:f>'fin asset pct, NFCs'!$E$7:$E$72</c:f>
              <c:numCache>
                <c:formatCode>0.0%</c:formatCode>
                <c:ptCount val="66"/>
                <c:pt idx="0">
                  <c:v>0.35127774841908987</c:v>
                </c:pt>
                <c:pt idx="1">
                  <c:v>0.30368931916238878</c:v>
                </c:pt>
                <c:pt idx="2">
                  <c:v>0.29244775412693974</c:v>
                </c:pt>
                <c:pt idx="3">
                  <c:v>0.28798071896994543</c:v>
                </c:pt>
                <c:pt idx="4">
                  <c:v>0.29304283488108129</c:v>
                </c:pt>
                <c:pt idx="5">
                  <c:v>0.30648046481700136</c:v>
                </c:pt>
                <c:pt idx="6">
                  <c:v>0.30552745826929462</c:v>
                </c:pt>
                <c:pt idx="7">
                  <c:v>0.30362775031603173</c:v>
                </c:pt>
                <c:pt idx="8">
                  <c:v>0.29879650223788612</c:v>
                </c:pt>
                <c:pt idx="9">
                  <c:v>0.30223307313049919</c:v>
                </c:pt>
                <c:pt idx="10">
                  <c:v>0.30987899251085232</c:v>
                </c:pt>
                <c:pt idx="11">
                  <c:v>0.29553610488290599</c:v>
                </c:pt>
                <c:pt idx="12">
                  <c:v>0.28739061445931952</c:v>
                </c:pt>
                <c:pt idx="13">
                  <c:v>0.29875754739488702</c:v>
                </c:pt>
                <c:pt idx="14">
                  <c:v>0.30857418317302693</c:v>
                </c:pt>
                <c:pt idx="15">
                  <c:v>0.30782929544379994</c:v>
                </c:pt>
                <c:pt idx="16">
                  <c:v>0.31741734619938999</c:v>
                </c:pt>
                <c:pt idx="17">
                  <c:v>0.32390533223736712</c:v>
                </c:pt>
                <c:pt idx="18">
                  <c:v>0.33317495358034338</c:v>
                </c:pt>
                <c:pt idx="19">
                  <c:v>0.33570203496895307</c:v>
                </c:pt>
                <c:pt idx="20">
                  <c:v>0.34576334716473756</c:v>
                </c:pt>
                <c:pt idx="21">
                  <c:v>0.3387090623016738</c:v>
                </c:pt>
                <c:pt idx="22">
                  <c:v>0.33475539773340041</c:v>
                </c:pt>
                <c:pt idx="23">
                  <c:v>0.3374937381941549</c:v>
                </c:pt>
                <c:pt idx="24">
                  <c:v>0.3383655049447416</c:v>
                </c:pt>
                <c:pt idx="25">
                  <c:v>0.33007739129073072</c:v>
                </c:pt>
                <c:pt idx="26">
                  <c:v>0.33272902327506582</c:v>
                </c:pt>
                <c:pt idx="27">
                  <c:v>0.34808515702856002</c:v>
                </c:pt>
                <c:pt idx="28">
                  <c:v>0.35427639919586013</c:v>
                </c:pt>
                <c:pt idx="29">
                  <c:v>0.32545111348103195</c:v>
                </c:pt>
                <c:pt idx="30">
                  <c:v>0.35336704367983029</c:v>
                </c:pt>
                <c:pt idx="31">
                  <c:v>0.35716707460428865</c:v>
                </c:pt>
                <c:pt idx="32">
                  <c:v>0.35824913530815805</c:v>
                </c:pt>
                <c:pt idx="33">
                  <c:v>0.35910085597048341</c:v>
                </c:pt>
                <c:pt idx="34">
                  <c:v>0.36164957575623236</c:v>
                </c:pt>
                <c:pt idx="35">
                  <c:v>0.35827383837061699</c:v>
                </c:pt>
                <c:pt idx="36">
                  <c:v>0.35923616149211279</c:v>
                </c:pt>
                <c:pt idx="37">
                  <c:v>0.36147550872827</c:v>
                </c:pt>
                <c:pt idx="38">
                  <c:v>0.37855172010277233</c:v>
                </c:pt>
                <c:pt idx="39">
                  <c:v>0.39768463583496788</c:v>
                </c:pt>
                <c:pt idx="40">
                  <c:v>0.41408462286110925</c:v>
                </c:pt>
                <c:pt idx="41">
                  <c:v>0.42145375473722119</c:v>
                </c:pt>
                <c:pt idx="42">
                  <c:v>0.43104119700963606</c:v>
                </c:pt>
                <c:pt idx="43">
                  <c:v>0.44778872167693923</c:v>
                </c:pt>
                <c:pt idx="44">
                  <c:v>0.45173310007605222</c:v>
                </c:pt>
                <c:pt idx="45">
                  <c:v>0.44669086101933503</c:v>
                </c:pt>
                <c:pt idx="46">
                  <c:v>0.45028804392556226</c:v>
                </c:pt>
                <c:pt idx="47">
                  <c:v>0.45308107979517598</c:v>
                </c:pt>
                <c:pt idx="48">
                  <c:v>0.46333552561597069</c:v>
                </c:pt>
                <c:pt idx="49">
                  <c:v>0.46597172893199645</c:v>
                </c:pt>
                <c:pt idx="50">
                  <c:v>0.47724246498570533</c:v>
                </c:pt>
                <c:pt idx="51">
                  <c:v>0.48851008457012951</c:v>
                </c:pt>
                <c:pt idx="52">
                  <c:v>0.4902782778932383</c:v>
                </c:pt>
                <c:pt idx="53">
                  <c:v>0.51710190344694484</c:v>
                </c:pt>
                <c:pt idx="54">
                  <c:v>0.54612789057809252</c:v>
                </c:pt>
                <c:pt idx="55">
                  <c:v>0.57567875816208958</c:v>
                </c:pt>
                <c:pt idx="56">
                  <c:v>0.56638898529748039</c:v>
                </c:pt>
                <c:pt idx="57">
                  <c:v>0.55939338679774142</c:v>
                </c:pt>
                <c:pt idx="58">
                  <c:v>0.55650293696072162</c:v>
                </c:pt>
                <c:pt idx="59">
                  <c:v>0.55727567545857359</c:v>
                </c:pt>
                <c:pt idx="60">
                  <c:v>0.55746190885540037</c:v>
                </c:pt>
                <c:pt idx="61">
                  <c:v>0.55237110276155399</c:v>
                </c:pt>
                <c:pt idx="62">
                  <c:v>0.55966429809426488</c:v>
                </c:pt>
                <c:pt idx="63">
                  <c:v>0.52796523102017223</c:v>
                </c:pt>
                <c:pt idx="64">
                  <c:v>0.54513850070510517</c:v>
                </c:pt>
                <c:pt idx="65">
                  <c:v>0.55656829601992752</c:v>
                </c:pt>
              </c:numCache>
            </c:numRef>
          </c:val>
          <c:smooth val="0"/>
        </c:ser>
        <c:dLbls>
          <c:showLegendKey val="0"/>
          <c:showVal val="0"/>
          <c:showCatName val="0"/>
          <c:showSerName val="0"/>
          <c:showPercent val="0"/>
          <c:showBubbleSize val="0"/>
        </c:dLbls>
        <c:marker val="1"/>
        <c:smooth val="0"/>
        <c:axId val="251398784"/>
        <c:axId val="252259712"/>
      </c:lineChart>
      <c:catAx>
        <c:axId val="251398784"/>
        <c:scaling>
          <c:orientation val="minMax"/>
        </c:scaling>
        <c:delete val="0"/>
        <c:axPos val="b"/>
        <c:majorGridlines/>
        <c:numFmt formatCode="General" sourceLinked="1"/>
        <c:majorTickMark val="out"/>
        <c:minorTickMark val="none"/>
        <c:tickLblPos val="low"/>
        <c:spPr>
          <a:ln w="19050">
            <a:noFill/>
          </a:ln>
        </c:spPr>
        <c:txPr>
          <a:bodyPr rot="0" vert="horz"/>
          <a:lstStyle/>
          <a:p>
            <a:pPr>
              <a:defRPr/>
            </a:pPr>
            <a:endParaRPr lang="en-US"/>
          </a:p>
        </c:txPr>
        <c:crossAx val="252259712"/>
        <c:crosses val="autoZero"/>
        <c:auto val="1"/>
        <c:lblAlgn val="ctr"/>
        <c:lblOffset val="100"/>
        <c:tickLblSkip val="10"/>
        <c:tickMarkSkip val="5"/>
        <c:noMultiLvlLbl val="0"/>
      </c:catAx>
      <c:valAx>
        <c:axId val="252259712"/>
        <c:scaling>
          <c:orientation val="minMax"/>
          <c:max val="0.60000000000000009"/>
          <c:min val="0.25"/>
        </c:scaling>
        <c:delete val="0"/>
        <c:axPos val="l"/>
        <c:majorGridlines/>
        <c:numFmt formatCode="0%" sourceLinked="0"/>
        <c:majorTickMark val="out"/>
        <c:minorTickMark val="none"/>
        <c:tickLblPos val="nextTo"/>
        <c:spPr>
          <a:ln>
            <a:noFill/>
          </a:ln>
        </c:spPr>
        <c:crossAx val="251398784"/>
        <c:crosses val="autoZero"/>
        <c:crossBetween val="midCat"/>
        <c:majorUnit val="0.05"/>
      </c:valAx>
    </c:plotArea>
    <c:plotVisOnly val="1"/>
    <c:dispBlanksAs val="gap"/>
    <c:showDLblsOverMax val="0"/>
  </c:chart>
  <c:spPr>
    <a:ln>
      <a:noFill/>
    </a:ln>
  </c:spPr>
  <c:txPr>
    <a:bodyPr/>
    <a:lstStyle/>
    <a:p>
      <a:pPr>
        <a:defRPr sz="1000">
          <a:latin typeface="Palatino Linotype"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417692980685101E-2"/>
          <c:y val="4.4769096170670972E-2"/>
          <c:w val="0.90139427283128071"/>
          <c:h val="0.86290463692038499"/>
        </c:manualLayout>
      </c:layout>
      <c:lineChart>
        <c:grouping val="stacked"/>
        <c:varyColors val="0"/>
        <c:ser>
          <c:idx val="1"/>
          <c:order val="0"/>
          <c:tx>
            <c:v> net interest</c:v>
          </c:tx>
          <c:spPr>
            <a:ln>
              <a:solidFill>
                <a:schemeClr val="tx1"/>
              </a:solidFill>
            </a:ln>
          </c:spPr>
          <c:marker>
            <c:symbol val="none"/>
          </c:marker>
          <c:cat>
            <c:numRef>
              <c:f>'fin pay, pct of NOSh'!$A$5:$A$65</c:f>
              <c:numCache>
                <c:formatCode>General</c:formatCode>
                <c:ptCount val="61"/>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numCache>
            </c:numRef>
          </c:cat>
          <c:val>
            <c:numRef>
              <c:f>'fin pay, pct of NOSh'!$P$5:$P$65</c:f>
              <c:numCache>
                <c:formatCode>0.0%</c:formatCode>
                <c:ptCount val="61"/>
                <c:pt idx="0">
                  <c:v>3.2258064516129031E-2</c:v>
                </c:pt>
                <c:pt idx="1">
                  <c:v>2.5157232704402524E-2</c:v>
                </c:pt>
                <c:pt idx="2">
                  <c:v>3.4129692832764527E-2</c:v>
                </c:pt>
                <c:pt idx="3">
                  <c:v>2.4930747922437674E-2</c:v>
                </c:pt>
                <c:pt idx="4">
                  <c:v>2.4096385542168697E-2</c:v>
                </c:pt>
                <c:pt idx="5">
                  <c:v>3.0769230769230747E-2</c:v>
                </c:pt>
                <c:pt idx="6">
                  <c:v>3.3163265306122451E-2</c:v>
                </c:pt>
                <c:pt idx="7">
                  <c:v>4.1994750656167971E-2</c:v>
                </c:pt>
                <c:pt idx="8">
                  <c:v>3.326403326403328E-2</c:v>
                </c:pt>
                <c:pt idx="9">
                  <c:v>3.78947368421053E-2</c:v>
                </c:pt>
                <c:pt idx="10">
                  <c:v>4.5929018789144051E-2</c:v>
                </c:pt>
                <c:pt idx="11">
                  <c:v>6.4516129032258077E-2</c:v>
                </c:pt>
                <c:pt idx="12">
                  <c:v>5.390334572490707E-2</c:v>
                </c:pt>
                <c:pt idx="13">
                  <c:v>6.177606177606184E-2</c:v>
                </c:pt>
                <c:pt idx="14">
                  <c:v>6.9943289224952743E-2</c:v>
                </c:pt>
                <c:pt idx="15">
                  <c:v>7.0957095709570886E-2</c:v>
                </c:pt>
                <c:pt idx="16">
                  <c:v>7.0783132530120557E-2</c:v>
                </c:pt>
                <c:pt idx="17">
                  <c:v>7.0941336971350577E-2</c:v>
                </c:pt>
                <c:pt idx="18">
                  <c:v>6.8557919621749411E-2</c:v>
                </c:pt>
                <c:pt idx="19">
                  <c:v>7.6252723311546783E-2</c:v>
                </c:pt>
                <c:pt idx="20">
                  <c:v>9.2409240924092473E-2</c:v>
                </c:pt>
                <c:pt idx="21">
                  <c:v>9.9182004089979472E-2</c:v>
                </c:pt>
                <c:pt idx="22">
                  <c:v>0.12998976458546574</c:v>
                </c:pt>
                <c:pt idx="23">
                  <c:v>0.18672665916760425</c:v>
                </c:pt>
                <c:pt idx="24">
                  <c:v>0.17170731707317075</c:v>
                </c:pt>
                <c:pt idx="25">
                  <c:v>0.1599312123817713</c:v>
                </c:pt>
                <c:pt idx="26">
                  <c:v>0.17031250000000003</c:v>
                </c:pt>
                <c:pt idx="27" formatCode="0%">
                  <c:v>0.21484375000000006</c:v>
                </c:pt>
                <c:pt idx="28">
                  <c:v>0.17716781035558327</c:v>
                </c:pt>
                <c:pt idx="29">
                  <c:v>0.14061654948620875</c:v>
                </c:pt>
                <c:pt idx="30">
                  <c:v>0.13255813953488363</c:v>
                </c:pt>
                <c:pt idx="31">
                  <c:v>0.13881961762261008</c:v>
                </c:pt>
                <c:pt idx="32">
                  <c:v>0.16666666666666649</c:v>
                </c:pt>
                <c:pt idx="33">
                  <c:v>0.21114141020646668</c:v>
                </c:pt>
                <c:pt idx="34">
                  <c:v>0.21353670162059099</c:v>
                </c:pt>
                <c:pt idx="35">
                  <c:v>0.24935567010309301</c:v>
                </c:pt>
                <c:pt idx="36">
                  <c:v>0.22273647671391392</c:v>
                </c:pt>
                <c:pt idx="37">
                  <c:v>0.20990969001708554</c:v>
                </c:pt>
                <c:pt idx="38">
                  <c:v>0.21952975047984641</c:v>
                </c:pt>
                <c:pt idx="39">
                  <c:v>0.24381188118811917</c:v>
                </c:pt>
                <c:pt idx="40">
                  <c:v>0.21652743282908093</c:v>
                </c:pt>
                <c:pt idx="41">
                  <c:v>0.21524037502493512</c:v>
                </c:pt>
                <c:pt idx="42">
                  <c:v>0.26562190041658407</c:v>
                </c:pt>
                <c:pt idx="43">
                  <c:v>0.27932851844622303</c:v>
                </c:pt>
                <c:pt idx="44">
                  <c:v>0.2756714060031597</c:v>
                </c:pt>
                <c:pt idx="45">
                  <c:v>0.22685736988478344</c:v>
                </c:pt>
                <c:pt idx="46">
                  <c:v>0.18502039302929177</c:v>
                </c:pt>
                <c:pt idx="47">
                  <c:v>0.15760089328441529</c:v>
                </c:pt>
                <c:pt idx="48">
                  <c:v>0.16602828520919283</c:v>
                </c:pt>
                <c:pt idx="49">
                  <c:v>0.14966622162883855</c:v>
                </c:pt>
                <c:pt idx="50">
                  <c:v>0.15421716547118469</c:v>
                </c:pt>
                <c:pt idx="51">
                  <c:v>0.18825339830725837</c:v>
                </c:pt>
                <c:pt idx="52">
                  <c:v>0.20598547458051572</c:v>
                </c:pt>
                <c:pt idx="53">
                  <c:v>0.25019465351674053</c:v>
                </c:pt>
                <c:pt idx="54">
                  <c:v>0.28739642389882247</c:v>
                </c:pt>
                <c:pt idx="55">
                  <c:v>0.22641770401106481</c:v>
                </c:pt>
                <c:pt idx="56">
                  <c:v>0.18920301906102097</c:v>
                </c:pt>
                <c:pt idx="57">
                  <c:v>0.13892908827785827</c:v>
                </c:pt>
                <c:pt idx="58">
                  <c:v>0.13075701429327674</c:v>
                </c:pt>
                <c:pt idx="59">
                  <c:v>0.12471482889733847</c:v>
                </c:pt>
                <c:pt idx="60">
                  <c:v>0.17986837011227258</c:v>
                </c:pt>
              </c:numCache>
            </c:numRef>
          </c:val>
          <c:smooth val="0"/>
        </c:ser>
        <c:dLbls>
          <c:showLegendKey val="0"/>
          <c:showVal val="0"/>
          <c:showCatName val="0"/>
          <c:showSerName val="0"/>
          <c:showPercent val="0"/>
          <c:showBubbleSize val="0"/>
        </c:dLbls>
        <c:marker val="1"/>
        <c:smooth val="0"/>
        <c:axId val="179936256"/>
        <c:axId val="179938048"/>
      </c:lineChart>
      <c:catAx>
        <c:axId val="179936256"/>
        <c:scaling>
          <c:orientation val="minMax"/>
        </c:scaling>
        <c:delete val="0"/>
        <c:axPos val="b"/>
        <c:majorGridlines/>
        <c:numFmt formatCode="General" sourceLinked="1"/>
        <c:majorTickMark val="out"/>
        <c:minorTickMark val="none"/>
        <c:tickLblPos val="nextTo"/>
        <c:crossAx val="179938048"/>
        <c:crosses val="autoZero"/>
        <c:auto val="1"/>
        <c:lblAlgn val="ctr"/>
        <c:lblOffset val="100"/>
        <c:tickLblSkip val="10"/>
        <c:tickMarkSkip val="5"/>
        <c:noMultiLvlLbl val="0"/>
      </c:catAx>
      <c:valAx>
        <c:axId val="179938048"/>
        <c:scaling>
          <c:orientation val="minMax"/>
          <c:max val="0.30000000000000004"/>
          <c:min val="0"/>
        </c:scaling>
        <c:delete val="0"/>
        <c:axPos val="l"/>
        <c:majorGridlines/>
        <c:numFmt formatCode="0%" sourceLinked="0"/>
        <c:majorTickMark val="out"/>
        <c:minorTickMark val="none"/>
        <c:tickLblPos val="nextTo"/>
        <c:crossAx val="179936256"/>
        <c:crosses val="autoZero"/>
        <c:crossBetween val="midCat"/>
      </c:valAx>
    </c:plotArea>
    <c:plotVisOnly val="1"/>
    <c:dispBlanksAs val="zero"/>
    <c:showDLblsOverMax val="0"/>
  </c:chart>
  <c:spPr>
    <a:ln>
      <a:noFill/>
    </a:ln>
  </c:spPr>
  <c:txPr>
    <a:bodyPr/>
    <a:lstStyle/>
    <a:p>
      <a:pPr>
        <a:defRPr sz="1000">
          <a:latin typeface="Palatino Linotype"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515983578975707E-2"/>
          <c:y val="4.4769096170670972E-2"/>
          <c:w val="0.88126909617067095"/>
          <c:h val="0.86290463692038499"/>
        </c:manualLayout>
      </c:layout>
      <c:lineChart>
        <c:grouping val="stacked"/>
        <c:varyColors val="0"/>
        <c:ser>
          <c:idx val="0"/>
          <c:order val="0"/>
          <c:tx>
            <c:v> net dividends</c:v>
          </c:tx>
          <c:spPr>
            <a:ln>
              <a:solidFill>
                <a:schemeClr val="tx1"/>
              </a:solidFill>
            </a:ln>
          </c:spPr>
          <c:marker>
            <c:symbol val="none"/>
          </c:marker>
          <c:cat>
            <c:numRef>
              <c:f>'fin pay, pct of NOSh'!$A$5:$A$65</c:f>
              <c:numCache>
                <c:formatCode>General</c:formatCode>
                <c:ptCount val="61"/>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numCache>
            </c:numRef>
          </c:cat>
          <c:val>
            <c:numRef>
              <c:f>'fin pay, pct of NOSh'!$Q$5:$Q$65</c:f>
              <c:numCache>
                <c:formatCode>0.0%</c:formatCode>
                <c:ptCount val="61"/>
                <c:pt idx="0">
                  <c:v>0.21774193548387097</c:v>
                </c:pt>
                <c:pt idx="1">
                  <c:v>0.18553459119496862</c:v>
                </c:pt>
                <c:pt idx="2">
                  <c:v>0.20477815699658716</c:v>
                </c:pt>
                <c:pt idx="3">
                  <c:v>0.20498614958448755</c:v>
                </c:pt>
                <c:pt idx="4">
                  <c:v>0.16867469879518088</c:v>
                </c:pt>
                <c:pt idx="5">
                  <c:v>0.1820512820512819</c:v>
                </c:pt>
                <c:pt idx="6">
                  <c:v>0.18367346938775514</c:v>
                </c:pt>
                <c:pt idx="7">
                  <c:v>0.19422572178477687</c:v>
                </c:pt>
                <c:pt idx="8">
                  <c:v>0.17463617463617473</c:v>
                </c:pt>
                <c:pt idx="9">
                  <c:v>0.18947368421052649</c:v>
                </c:pt>
                <c:pt idx="10">
                  <c:v>0.19206680584551145</c:v>
                </c:pt>
                <c:pt idx="11">
                  <c:v>0.20967741935483875</c:v>
                </c:pt>
                <c:pt idx="12">
                  <c:v>0.18215613382899634</c:v>
                </c:pt>
                <c:pt idx="13">
                  <c:v>0.20270270270270291</c:v>
                </c:pt>
                <c:pt idx="14">
                  <c:v>0.20037807183364839</c:v>
                </c:pt>
                <c:pt idx="15">
                  <c:v>0.19141914191419124</c:v>
                </c:pt>
                <c:pt idx="16">
                  <c:v>0.18674698795180741</c:v>
                </c:pt>
                <c:pt idx="17">
                  <c:v>0.19099590723055923</c:v>
                </c:pt>
                <c:pt idx="18">
                  <c:v>0.19148936170212766</c:v>
                </c:pt>
                <c:pt idx="19">
                  <c:v>0.1830065359477123</c:v>
                </c:pt>
                <c:pt idx="20">
                  <c:v>0.19031903190319047</c:v>
                </c:pt>
                <c:pt idx="21">
                  <c:v>0.19427402862985671</c:v>
                </c:pt>
                <c:pt idx="22">
                  <c:v>0.19447287615148418</c:v>
                </c:pt>
                <c:pt idx="23">
                  <c:v>0.20584926884139504</c:v>
                </c:pt>
                <c:pt idx="24">
                  <c:v>0.17658536585365855</c:v>
                </c:pt>
                <c:pt idx="25">
                  <c:v>0.16938950988822013</c:v>
                </c:pt>
                <c:pt idx="26">
                  <c:v>0.16250000000000003</c:v>
                </c:pt>
                <c:pt idx="27">
                  <c:v>0.16796875000000003</c:v>
                </c:pt>
                <c:pt idx="28">
                  <c:v>0.15346225826575172</c:v>
                </c:pt>
                <c:pt idx="29">
                  <c:v>0.15035154137371551</c:v>
                </c:pt>
                <c:pt idx="30">
                  <c:v>0.14372093023255803</c:v>
                </c:pt>
                <c:pt idx="31">
                  <c:v>0.14921030756442222</c:v>
                </c:pt>
                <c:pt idx="32">
                  <c:v>0.14992025518341295</c:v>
                </c:pt>
                <c:pt idx="33">
                  <c:v>0.17413322945072066</c:v>
                </c:pt>
                <c:pt idx="34">
                  <c:v>0.16682554814108669</c:v>
                </c:pt>
                <c:pt idx="35">
                  <c:v>0.17429123711340222</c:v>
                </c:pt>
                <c:pt idx="36">
                  <c:v>0.18281747179635532</c:v>
                </c:pt>
                <c:pt idx="37">
                  <c:v>0.16402245545521102</c:v>
                </c:pt>
                <c:pt idx="38">
                  <c:v>0.17274472168905947</c:v>
                </c:pt>
                <c:pt idx="39">
                  <c:v>0.18044554455445572</c:v>
                </c:pt>
                <c:pt idx="40">
                  <c:v>0.172273650937006</c:v>
                </c:pt>
                <c:pt idx="41">
                  <c:v>0.16397366846199876</c:v>
                </c:pt>
                <c:pt idx="42">
                  <c:v>0.20908549890894668</c:v>
                </c:pt>
                <c:pt idx="43">
                  <c:v>0.23091938317392166</c:v>
                </c:pt>
                <c:pt idx="44">
                  <c:v>0.24782780410742511</c:v>
                </c:pt>
                <c:pt idx="45">
                  <c:v>0.26678585617798967</c:v>
                </c:pt>
                <c:pt idx="46">
                  <c:v>0.27660363366703739</c:v>
                </c:pt>
                <c:pt idx="47">
                  <c:v>0.25203381719572487</c:v>
                </c:pt>
                <c:pt idx="48">
                  <c:v>0.26222746022392479</c:v>
                </c:pt>
                <c:pt idx="49">
                  <c:v>0.26381842456608828</c:v>
                </c:pt>
                <c:pt idx="50">
                  <c:v>0.26700469948058358</c:v>
                </c:pt>
                <c:pt idx="51">
                  <c:v>0.30905360348807404</c:v>
                </c:pt>
                <c:pt idx="52">
                  <c:v>0.28136739293764063</c:v>
                </c:pt>
                <c:pt idx="53">
                  <c:v>0.32610952504541957</c:v>
                </c:pt>
                <c:pt idx="54">
                  <c:v>0.35673789795028343</c:v>
                </c:pt>
                <c:pt idx="55">
                  <c:v>0.35242047026279366</c:v>
                </c:pt>
                <c:pt idx="56">
                  <c:v>0.37533580657541271</c:v>
                </c:pt>
                <c:pt idx="57">
                  <c:v>0.37678313003928077</c:v>
                </c:pt>
                <c:pt idx="58">
                  <c:v>0.15078524792659243</c:v>
                </c:pt>
                <c:pt idx="59">
                  <c:v>0.3582509505703424</c:v>
                </c:pt>
                <c:pt idx="60" formatCode="0%">
                  <c:v>0.37522260936895091</c:v>
                </c:pt>
              </c:numCache>
            </c:numRef>
          </c:val>
          <c:smooth val="0"/>
        </c:ser>
        <c:dLbls>
          <c:showLegendKey val="0"/>
          <c:showVal val="0"/>
          <c:showCatName val="0"/>
          <c:showSerName val="0"/>
          <c:showPercent val="0"/>
          <c:showBubbleSize val="0"/>
        </c:dLbls>
        <c:marker val="1"/>
        <c:smooth val="0"/>
        <c:axId val="179949568"/>
        <c:axId val="179951104"/>
      </c:lineChart>
      <c:catAx>
        <c:axId val="179949568"/>
        <c:scaling>
          <c:orientation val="minMax"/>
        </c:scaling>
        <c:delete val="0"/>
        <c:axPos val="b"/>
        <c:majorGridlines/>
        <c:numFmt formatCode="General" sourceLinked="1"/>
        <c:majorTickMark val="out"/>
        <c:minorTickMark val="none"/>
        <c:tickLblPos val="nextTo"/>
        <c:crossAx val="179951104"/>
        <c:crosses val="autoZero"/>
        <c:auto val="1"/>
        <c:lblAlgn val="ctr"/>
        <c:lblOffset val="100"/>
        <c:tickLblSkip val="10"/>
        <c:tickMarkSkip val="5"/>
        <c:noMultiLvlLbl val="0"/>
      </c:catAx>
      <c:valAx>
        <c:axId val="179951104"/>
        <c:scaling>
          <c:orientation val="minMax"/>
          <c:max val="0.4"/>
          <c:min val="0.1"/>
        </c:scaling>
        <c:delete val="0"/>
        <c:axPos val="l"/>
        <c:majorGridlines/>
        <c:numFmt formatCode="0%" sourceLinked="0"/>
        <c:majorTickMark val="out"/>
        <c:minorTickMark val="none"/>
        <c:tickLblPos val="nextTo"/>
        <c:crossAx val="179949568"/>
        <c:crosses val="autoZero"/>
        <c:crossBetween val="midCat"/>
        <c:majorUnit val="5.000000000000001E-2"/>
      </c:valAx>
    </c:plotArea>
    <c:plotVisOnly val="1"/>
    <c:dispBlanksAs val="zero"/>
    <c:showDLblsOverMax val="0"/>
  </c:chart>
  <c:spPr>
    <a:ln>
      <a:noFill/>
    </a:ln>
  </c:spPr>
  <c:txPr>
    <a:bodyPr/>
    <a:lstStyle/>
    <a:p>
      <a:pPr>
        <a:defRPr sz="1000">
          <a:latin typeface="Palatino Linotype"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900746629972226E-2"/>
          <c:y val="4.4769096170670972E-2"/>
          <c:w val="0.8688841322019214"/>
          <c:h val="0.86290463692038499"/>
        </c:manualLayout>
      </c:layout>
      <c:lineChart>
        <c:grouping val="stacked"/>
        <c:varyColors val="0"/>
        <c:ser>
          <c:idx val="0"/>
          <c:order val="0"/>
          <c:tx>
            <c:v> net stock repurchases</c:v>
          </c:tx>
          <c:spPr>
            <a:ln>
              <a:solidFill>
                <a:schemeClr val="tx1"/>
              </a:solidFill>
            </a:ln>
          </c:spPr>
          <c:marker>
            <c:symbol val="none"/>
          </c:marker>
          <c:cat>
            <c:numRef>
              <c:f>'fin pay, pct of NOSh'!$A$5:$A$65</c:f>
              <c:numCache>
                <c:formatCode>General</c:formatCode>
                <c:ptCount val="61"/>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numCache>
            </c:numRef>
          </c:cat>
          <c:val>
            <c:numRef>
              <c:f>'fin pay, pct of NOSh'!$R$5:$R$65</c:f>
              <c:numCache>
                <c:formatCode>0.0%</c:formatCode>
                <c:ptCount val="61"/>
                <c:pt idx="0">
                  <c:v>-4.4072580645161286E-2</c:v>
                </c:pt>
                <c:pt idx="1">
                  <c:v>-3.1446540880503152E-2</c:v>
                </c:pt>
                <c:pt idx="2">
                  <c:v>-4.1365187713310603E-2</c:v>
                </c:pt>
                <c:pt idx="3">
                  <c:v>-3.5678670360110805E-2</c:v>
                </c:pt>
                <c:pt idx="4">
                  <c:v>-5.0771084337349448E-2</c:v>
                </c:pt>
                <c:pt idx="5">
                  <c:v>-5.9487179487179437E-2</c:v>
                </c:pt>
                <c:pt idx="6">
                  <c:v>-4.5051020408163271E-2</c:v>
                </c:pt>
                <c:pt idx="7">
                  <c:v>-4.1548556430446186E-2</c:v>
                </c:pt>
                <c:pt idx="8">
                  <c:v>-3.5738045738045753E-2</c:v>
                </c:pt>
                <c:pt idx="9">
                  <c:v>-4.7368421052631622E-2</c:v>
                </c:pt>
                <c:pt idx="10">
                  <c:v>-5.0960334029227547E-2</c:v>
                </c:pt>
                <c:pt idx="11">
                  <c:v>-4.5345622119815673E-2</c:v>
                </c:pt>
                <c:pt idx="12">
                  <c:v>-3.8624535315985135E-2</c:v>
                </c:pt>
                <c:pt idx="13">
                  <c:v>-2.6351351351351377E-2</c:v>
                </c:pt>
                <c:pt idx="14">
                  <c:v>-4.0094517958412096E-2</c:v>
                </c:pt>
                <c:pt idx="15">
                  <c:v>-6.0891089108910832E-3</c:v>
                </c:pt>
                <c:pt idx="16">
                  <c:v>5.1355421686747043E-3</c:v>
                </c:pt>
                <c:pt idx="17">
                  <c:v>-1.562073669849931E-2</c:v>
                </c:pt>
                <c:pt idx="18">
                  <c:v>3.3096926713947994E-4</c:v>
                </c:pt>
                <c:pt idx="19">
                  <c:v>-1.3714596949891055E-2</c:v>
                </c:pt>
                <c:pt idx="20">
                  <c:v>-2.6369636963696385E-2</c:v>
                </c:pt>
                <c:pt idx="21">
                  <c:v>1.6257668711656432E-3</c:v>
                </c:pt>
                <c:pt idx="22">
                  <c:v>-3.4861821903787116E-2</c:v>
                </c:pt>
                <c:pt idx="23">
                  <c:v>-6.4049493813273406E-2</c:v>
                </c:pt>
                <c:pt idx="24">
                  <c:v>-0.1115609756097561</c:v>
                </c:pt>
                <c:pt idx="25">
                  <c:v>-9.3912295786758387E-2</c:v>
                </c:pt>
                <c:pt idx="26">
                  <c:v>-6.1585937500000014E-2</c:v>
                </c:pt>
                <c:pt idx="27">
                  <c:v>-3.200781250000001E-2</c:v>
                </c:pt>
                <c:pt idx="28">
                  <c:v>-6.1809107922645032E-2</c:v>
                </c:pt>
                <c:pt idx="29">
                  <c:v>-5.6917252568956175E-2</c:v>
                </c:pt>
                <c:pt idx="30">
                  <c:v>-1.268372093023255E-2</c:v>
                </c:pt>
                <c:pt idx="31">
                  <c:v>4.1978387364921017E-4</c:v>
                </c:pt>
                <c:pt idx="32">
                  <c:v>3.1244019138755953E-2</c:v>
                </c:pt>
                <c:pt idx="33">
                  <c:v>-4.0416828983248922E-2</c:v>
                </c:pt>
                <c:pt idx="34">
                  <c:v>4.2739116619002211E-2</c:v>
                </c:pt>
                <c:pt idx="35">
                  <c:v>-6.121134020618561E-3</c:v>
                </c:pt>
                <c:pt idx="36">
                  <c:v>-5.7853630315302315E-2</c:v>
                </c:pt>
                <c:pt idx="37">
                  <c:v>0.19276299731510849</c:v>
                </c:pt>
                <c:pt idx="38">
                  <c:v>0.20273512476007674</c:v>
                </c:pt>
                <c:pt idx="39">
                  <c:v>0.21033415841584185</c:v>
                </c:pt>
                <c:pt idx="40">
                  <c:v>0.17046737412508456</c:v>
                </c:pt>
                <c:pt idx="41">
                  <c:v>0.25832834629962093</c:v>
                </c:pt>
                <c:pt idx="42">
                  <c:v>0.24628049990081335</c:v>
                </c:pt>
                <c:pt idx="43">
                  <c:v>0.12297481944173343</c:v>
                </c:pt>
                <c:pt idx="44">
                  <c:v>-3.6038704581358633E-2</c:v>
                </c:pt>
                <c:pt idx="45">
                  <c:v>-5.3635280095351602E-2</c:v>
                </c:pt>
                <c:pt idx="46">
                  <c:v>-3.9488320355951054E-2</c:v>
                </c:pt>
                <c:pt idx="47">
                  <c:v>7.1622268304354725E-2</c:v>
                </c:pt>
                <c:pt idx="48">
                  <c:v>8.5931054802592874E-2</c:v>
                </c:pt>
                <c:pt idx="49">
                  <c:v>6.3184245660881225E-2</c:v>
                </c:pt>
                <c:pt idx="50">
                  <c:v>9.569008162255746E-2</c:v>
                </c:pt>
                <c:pt idx="51">
                  <c:v>0.27640035906642746</c:v>
                </c:pt>
                <c:pt idx="52">
                  <c:v>0.13820185324317544</c:v>
                </c:pt>
                <c:pt idx="53">
                  <c:v>0.15339216195172609</c:v>
                </c:pt>
                <c:pt idx="54">
                  <c:v>6.9959296409361812E-2</c:v>
                </c:pt>
                <c:pt idx="55">
                  <c:v>2.2468879668049776E-2</c:v>
                </c:pt>
                <c:pt idx="56">
                  <c:v>5.0657541256236428E-2</c:v>
                </c:pt>
                <c:pt idx="57">
                  <c:v>0.12681724209220599</c:v>
                </c:pt>
                <c:pt idx="58">
                  <c:v>0.30159608258337717</c:v>
                </c:pt>
                <c:pt idx="59">
                  <c:v>0.43018783269962002</c:v>
                </c:pt>
                <c:pt idx="60">
                  <c:v>0.60923344947735203</c:v>
                </c:pt>
              </c:numCache>
            </c:numRef>
          </c:val>
          <c:smooth val="0"/>
        </c:ser>
        <c:dLbls>
          <c:showLegendKey val="0"/>
          <c:showVal val="0"/>
          <c:showCatName val="0"/>
          <c:showSerName val="0"/>
          <c:showPercent val="0"/>
          <c:showBubbleSize val="0"/>
        </c:dLbls>
        <c:marker val="1"/>
        <c:smooth val="0"/>
        <c:axId val="187097856"/>
        <c:axId val="187099392"/>
      </c:lineChart>
      <c:catAx>
        <c:axId val="187097856"/>
        <c:scaling>
          <c:orientation val="minMax"/>
        </c:scaling>
        <c:delete val="0"/>
        <c:axPos val="b"/>
        <c:majorGridlines/>
        <c:numFmt formatCode="General" sourceLinked="1"/>
        <c:majorTickMark val="out"/>
        <c:minorTickMark val="none"/>
        <c:tickLblPos val="low"/>
        <c:spPr>
          <a:ln w="19050">
            <a:solidFill>
              <a:sysClr val="windowText" lastClr="000000"/>
            </a:solidFill>
            <a:prstDash val="sysDash"/>
          </a:ln>
        </c:spPr>
        <c:crossAx val="187099392"/>
        <c:crosses val="autoZero"/>
        <c:auto val="1"/>
        <c:lblAlgn val="ctr"/>
        <c:lblOffset val="100"/>
        <c:tickLblSkip val="10"/>
        <c:tickMarkSkip val="5"/>
        <c:noMultiLvlLbl val="0"/>
      </c:catAx>
      <c:valAx>
        <c:axId val="187099392"/>
        <c:scaling>
          <c:orientation val="minMax"/>
          <c:max val="0.62000000000000011"/>
          <c:min val="-0.2"/>
        </c:scaling>
        <c:delete val="0"/>
        <c:axPos val="l"/>
        <c:majorGridlines/>
        <c:numFmt formatCode="0%" sourceLinked="0"/>
        <c:majorTickMark val="out"/>
        <c:minorTickMark val="none"/>
        <c:tickLblPos val="nextTo"/>
        <c:crossAx val="187097856"/>
        <c:crosses val="autoZero"/>
        <c:crossBetween val="midCat"/>
        <c:majorUnit val="0.2"/>
      </c:valAx>
    </c:plotArea>
    <c:plotVisOnly val="1"/>
    <c:dispBlanksAs val="zero"/>
    <c:showDLblsOverMax val="0"/>
  </c:chart>
  <c:spPr>
    <a:ln>
      <a:noFill/>
    </a:ln>
  </c:spPr>
  <c:txPr>
    <a:bodyPr/>
    <a:lstStyle/>
    <a:p>
      <a:pPr>
        <a:defRPr sz="1000">
          <a:latin typeface="Palatino Linotype"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413212533240322E-2"/>
          <c:y val="3.2343088261508293E-2"/>
          <c:w val="0.91775580056358619"/>
          <c:h val="0.62931420457688692"/>
        </c:manualLayout>
      </c:layout>
      <c:lineChart>
        <c:grouping val="standard"/>
        <c:varyColors val="0"/>
        <c:ser>
          <c:idx val="1"/>
          <c:order val="0"/>
          <c:tx>
            <c:v> interest payments and stock buybacks included</c:v>
          </c:tx>
          <c:spPr>
            <a:ln>
              <a:solidFill>
                <a:schemeClr val="tx1"/>
              </a:solidFill>
            </a:ln>
          </c:spPr>
          <c:marker>
            <c:symbol val="none"/>
          </c:marker>
          <c:val>
            <c:numRef>
              <c:f>data!$C$42:$BK$42</c:f>
              <c:numCache>
                <c:formatCode>0.0%</c:formatCode>
                <c:ptCount val="61"/>
                <c:pt idx="0">
                  <c:v>0.28139340240699573</c:v>
                </c:pt>
                <c:pt idx="1">
                  <c:v>0.80748629516315695</c:v>
                </c:pt>
                <c:pt idx="2">
                  <c:v>1.1672709618106134</c:v>
                </c:pt>
                <c:pt idx="3">
                  <c:v>0.40761269230284353</c:v>
                </c:pt>
                <c:pt idx="4">
                  <c:v>0.55291465008401441</c:v>
                </c:pt>
                <c:pt idx="5">
                  <c:v>0.71897029425174486</c:v>
                </c:pt>
                <c:pt idx="6">
                  <c:v>0.6750536974532062</c:v>
                </c:pt>
                <c:pt idx="7">
                  <c:v>0.78137088039610103</c:v>
                </c:pt>
                <c:pt idx="8">
                  <c:v>0.5569403333852625</c:v>
                </c:pt>
                <c:pt idx="9">
                  <c:v>0.68417567865813289</c:v>
                </c:pt>
                <c:pt idx="10">
                  <c:v>0.66518847006651882</c:v>
                </c:pt>
                <c:pt idx="11">
                  <c:v>0.62831611281764821</c:v>
                </c:pt>
                <c:pt idx="12">
                  <c:v>0.68426577504762642</c:v>
                </c:pt>
                <c:pt idx="13">
                  <c:v>0.98807720176536462</c:v>
                </c:pt>
                <c:pt idx="14">
                  <c:v>0.6732425238766242</c:v>
                </c:pt>
                <c:pt idx="15">
                  <c:v>0.79627676980692985</c:v>
                </c:pt>
                <c:pt idx="16">
                  <c:v>0.76526723375712646</c:v>
                </c:pt>
                <c:pt idx="17">
                  <c:v>0.83126284469801526</c:v>
                </c:pt>
                <c:pt idx="18">
                  <c:v>0.57246889855365635</c:v>
                </c:pt>
                <c:pt idx="19">
                  <c:v>0.70989243232991006</c:v>
                </c:pt>
                <c:pt idx="20">
                  <c:v>0.69865381338396748</c:v>
                </c:pt>
                <c:pt idx="21">
                  <c:v>0.44062817760705025</c:v>
                </c:pt>
                <c:pt idx="22">
                  <c:v>0.35656609264322597</c:v>
                </c:pt>
                <c:pt idx="23">
                  <c:v>0.40469845030105617</c:v>
                </c:pt>
                <c:pt idx="24">
                  <c:v>0.48156531514424178</c:v>
                </c:pt>
                <c:pt idx="25">
                  <c:v>0.35582732461678135</c:v>
                </c:pt>
                <c:pt idx="26">
                  <c:v>0.23831883338944315</c:v>
                </c:pt>
                <c:pt idx="27">
                  <c:v>0.16649040324185121</c:v>
                </c:pt>
                <c:pt idx="28">
                  <c:v>0.74546473046925488</c:v>
                </c:pt>
                <c:pt idx="29">
                  <c:v>0.50264454426894656</c:v>
                </c:pt>
                <c:pt idx="30">
                  <c:v>0.33137547120189353</c:v>
                </c:pt>
                <c:pt idx="31">
                  <c:v>0.24009783612449129</c:v>
                </c:pt>
                <c:pt idx="32">
                  <c:v>0.12604258699370213</c:v>
                </c:pt>
                <c:pt idx="33">
                  <c:v>0.14547880596185109</c:v>
                </c:pt>
                <c:pt idx="34">
                  <c:v>0.20232322879966516</c:v>
                </c:pt>
                <c:pt idx="35">
                  <c:v>0.46800654015027637</c:v>
                </c:pt>
                <c:pt idx="36">
                  <c:v>0.54828075637562379</c:v>
                </c:pt>
                <c:pt idx="37">
                  <c:v>0.30783054997488685</c:v>
                </c:pt>
                <c:pt idx="38">
                  <c:v>0.35009782783169269</c:v>
                </c:pt>
                <c:pt idx="39">
                  <c:v>0.42208127062706291</c:v>
                </c:pt>
                <c:pt idx="40">
                  <c:v>0.41424812077410256</c:v>
                </c:pt>
                <c:pt idx="41">
                  <c:v>0.35642216623482093</c:v>
                </c:pt>
                <c:pt idx="42">
                  <c:v>0.43155193491660804</c:v>
                </c:pt>
                <c:pt idx="43">
                  <c:v>0.50049671013065944</c:v>
                </c:pt>
                <c:pt idx="44">
                  <c:v>0.76734639429053053</c:v>
                </c:pt>
                <c:pt idx="45">
                  <c:v>0.6594825472751743</c:v>
                </c:pt>
                <c:pt idx="46">
                  <c:v>0.42223760948553379</c:v>
                </c:pt>
                <c:pt idx="47">
                  <c:v>0.46970229010287584</c:v>
                </c:pt>
                <c:pt idx="48">
                  <c:v>0.34819697557192703</c:v>
                </c:pt>
                <c:pt idx="49">
                  <c:v>0.37134252411246643</c:v>
                </c:pt>
                <c:pt idx="50">
                  <c:v>0.47497414957218648</c:v>
                </c:pt>
                <c:pt idx="51">
                  <c:v>0.24820840290819349</c:v>
                </c:pt>
                <c:pt idx="52">
                  <c:v>0.18012399899840148</c:v>
                </c:pt>
                <c:pt idx="53">
                  <c:v>0.10819614058934079</c:v>
                </c:pt>
                <c:pt idx="54">
                  <c:v>0.3609957015768866</c:v>
                </c:pt>
                <c:pt idx="55">
                  <c:v>0.71506090519973264</c:v>
                </c:pt>
                <c:pt idx="56">
                  <c:v>0.74848719392063023</c:v>
                </c:pt>
                <c:pt idx="57">
                  <c:v>0.37654115770354118</c:v>
                </c:pt>
                <c:pt idx="58">
                  <c:v>0.32490186034323831</c:v>
                </c:pt>
                <c:pt idx="59">
                  <c:v>0.29820843565460187</c:v>
                </c:pt>
                <c:pt idx="60">
                  <c:v>0.20157920515434699</c:v>
                </c:pt>
              </c:numCache>
            </c:numRef>
          </c:val>
          <c:smooth val="0"/>
        </c:ser>
        <c:ser>
          <c:idx val="0"/>
          <c:order val="1"/>
          <c:tx>
            <c:v> interest payments and stock buybacks excluded</c:v>
          </c:tx>
          <c:spPr>
            <a:ln>
              <a:solidFill>
                <a:schemeClr val="tx1"/>
              </a:solidFill>
              <a:prstDash val="sysDash"/>
            </a:ln>
          </c:spPr>
          <c:marker>
            <c:symbol val="none"/>
          </c:marker>
          <c:cat>
            <c:strRef>
              <c:f>data!$C$6:$BK$6</c:f>
              <c:strCache>
                <c:ptCount val="61"/>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strCache>
            </c:strRef>
          </c:cat>
          <c:val>
            <c:numRef>
              <c:f>data!$C$28:$BK$28</c:f>
              <c:numCache>
                <c:formatCode>0.0%</c:formatCode>
                <c:ptCount val="61"/>
                <c:pt idx="0">
                  <c:v>0.22610686375648284</c:v>
                </c:pt>
                <c:pt idx="1">
                  <c:v>0.71392686215923185</c:v>
                </c:pt>
                <c:pt idx="2">
                  <c:v>1.0411717731256382</c:v>
                </c:pt>
                <c:pt idx="3">
                  <c:v>0.36386039338270265</c:v>
                </c:pt>
                <c:pt idx="4">
                  <c:v>0.44568022776255245</c:v>
                </c:pt>
                <c:pt idx="5">
                  <c:v>0.56685721585284077</c:v>
                </c:pt>
                <c:pt idx="6">
                  <c:v>0.52718930000976294</c:v>
                </c:pt>
                <c:pt idx="7">
                  <c:v>0.65845534123479743</c:v>
                </c:pt>
                <c:pt idx="8">
                  <c:v>0.48846675712347343</c:v>
                </c:pt>
                <c:pt idx="9">
                  <c:v>0.53407391582995067</c:v>
                </c:pt>
                <c:pt idx="10">
                  <c:v>0.50105293733207457</c:v>
                </c:pt>
                <c:pt idx="11">
                  <c:v>0.51805945579548751</c:v>
                </c:pt>
                <c:pt idx="12">
                  <c:v>0.58636893047913563</c:v>
                </c:pt>
                <c:pt idx="13">
                  <c:v>0.88416004795444358</c:v>
                </c:pt>
                <c:pt idx="14">
                  <c:v>0.56322750219032913</c:v>
                </c:pt>
                <c:pt idx="15">
                  <c:v>0.74664856609536745</c:v>
                </c:pt>
                <c:pt idx="16">
                  <c:v>0.73852583039123854</c:v>
                </c:pt>
                <c:pt idx="17">
                  <c:v>0.77068591046030965</c:v>
                </c:pt>
                <c:pt idx="18">
                  <c:v>0.51367899649138882</c:v>
                </c:pt>
                <c:pt idx="19">
                  <c:v>0.61605595841622285</c:v>
                </c:pt>
                <c:pt idx="20">
                  <c:v>0.57589234804424683</c:v>
                </c:pt>
                <c:pt idx="21">
                  <c:v>0.33782486851702548</c:v>
                </c:pt>
                <c:pt idx="22">
                  <c:v>0.17841380735064885</c:v>
                </c:pt>
                <c:pt idx="23">
                  <c:v>9.8115675866059654E-2</c:v>
                </c:pt>
                <c:pt idx="24">
                  <c:v>0.23633133317689642</c:v>
                </c:pt>
                <c:pt idx="25">
                  <c:v>0.17582666893539789</c:v>
                </c:pt>
                <c:pt idx="26">
                  <c:v>5.1537536505754968E-2</c:v>
                </c:pt>
                <c:pt idx="27">
                  <c:v>-0.16227912008654871</c:v>
                </c:pt>
                <c:pt idx="28">
                  <c:v>0.45766590389015999</c:v>
                </c:pt>
                <c:pt idx="29">
                  <c:v>0.31177585843690775</c:v>
                </c:pt>
                <c:pt idx="30">
                  <c:v>0.19472655712437717</c:v>
                </c:pt>
                <c:pt idx="31">
                  <c:v>8.8111536017838193E-2</c:v>
                </c:pt>
                <c:pt idx="32">
                  <c:v>-5.3778170121660397E-2</c:v>
                </c:pt>
                <c:pt idx="33">
                  <c:v>-0.1325473507970282</c:v>
                </c:pt>
                <c:pt idx="34">
                  <c:v>8.733491801909259E-3</c:v>
                </c:pt>
                <c:pt idx="35">
                  <c:v>0.17225378255244952</c:v>
                </c:pt>
                <c:pt idx="36">
                  <c:v>0.32521990131258166</c:v>
                </c:pt>
                <c:pt idx="37">
                  <c:v>0.20567357370163128</c:v>
                </c:pt>
                <c:pt idx="38">
                  <c:v>0.24560197042952275</c:v>
                </c:pt>
                <c:pt idx="39">
                  <c:v>0.31903701710175414</c:v>
                </c:pt>
                <c:pt idx="40">
                  <c:v>0.33297719630578837</c:v>
                </c:pt>
                <c:pt idx="41">
                  <c:v>0.30259459259533239</c:v>
                </c:pt>
                <c:pt idx="42">
                  <c:v>0.3525989788231354</c:v>
                </c:pt>
                <c:pt idx="43">
                  <c:v>0.33641611832623713</c:v>
                </c:pt>
                <c:pt idx="44">
                  <c:v>0.54439584052799173</c:v>
                </c:pt>
                <c:pt idx="45">
                  <c:v>0.45693911527441344</c:v>
                </c:pt>
                <c:pt idx="46">
                  <c:v>0.28411449253706555</c:v>
                </c:pt>
                <c:pt idx="47">
                  <c:v>0.39739733709026381</c:v>
                </c:pt>
                <c:pt idx="48">
                  <c:v>0.26000962384057613</c:v>
                </c:pt>
                <c:pt idx="49">
                  <c:v>0.2895961725090711</c:v>
                </c:pt>
                <c:pt idx="50">
                  <c:v>0.41543668699123582</c:v>
                </c:pt>
                <c:pt idx="51">
                  <c:v>0.17809900921619148</c:v>
                </c:pt>
                <c:pt idx="52">
                  <c:v>8.3558044288282812E-2</c:v>
                </c:pt>
                <c:pt idx="53">
                  <c:v>-1.0987826175336238E-3</c:v>
                </c:pt>
                <c:pt idx="54">
                  <c:v>0.10276397199326583</c:v>
                </c:pt>
                <c:pt idx="55">
                  <c:v>0.62684682409395132</c:v>
                </c:pt>
                <c:pt idx="56">
                  <c:v>0.72864526052480316</c:v>
                </c:pt>
                <c:pt idx="57">
                  <c:v>0.34369394988568297</c:v>
                </c:pt>
                <c:pt idx="58">
                  <c:v>0.33485281342635292</c:v>
                </c:pt>
                <c:pt idx="59">
                  <c:v>0.34385870905372296</c:v>
                </c:pt>
                <c:pt idx="60">
                  <c:v>0.18435230462823687</c:v>
                </c:pt>
              </c:numCache>
            </c:numRef>
          </c:val>
          <c:smooth val="0"/>
        </c:ser>
        <c:dLbls>
          <c:showLegendKey val="0"/>
          <c:showVal val="0"/>
          <c:showCatName val="0"/>
          <c:showSerName val="0"/>
          <c:showPercent val="0"/>
          <c:showBubbleSize val="0"/>
        </c:dLbls>
        <c:marker val="1"/>
        <c:smooth val="0"/>
        <c:axId val="214699008"/>
        <c:axId val="214700800"/>
      </c:lineChart>
      <c:catAx>
        <c:axId val="214699008"/>
        <c:scaling>
          <c:orientation val="minMax"/>
        </c:scaling>
        <c:delete val="0"/>
        <c:axPos val="b"/>
        <c:majorGridlines/>
        <c:majorTickMark val="out"/>
        <c:minorTickMark val="none"/>
        <c:tickLblPos val="low"/>
        <c:spPr>
          <a:ln w="12700">
            <a:solidFill>
              <a:schemeClr val="tx1"/>
            </a:solidFill>
          </a:ln>
        </c:spPr>
        <c:crossAx val="214700800"/>
        <c:crosses val="autoZero"/>
        <c:auto val="1"/>
        <c:lblAlgn val="ctr"/>
        <c:lblOffset val="100"/>
        <c:tickLblSkip val="10"/>
        <c:tickMarkSkip val="5"/>
        <c:noMultiLvlLbl val="0"/>
      </c:catAx>
      <c:valAx>
        <c:axId val="214700800"/>
        <c:scaling>
          <c:orientation val="minMax"/>
          <c:max val="1.2"/>
          <c:min val="-0.2"/>
        </c:scaling>
        <c:delete val="0"/>
        <c:axPos val="l"/>
        <c:majorGridlines/>
        <c:numFmt formatCode="0%" sourceLinked="0"/>
        <c:majorTickMark val="out"/>
        <c:minorTickMark val="none"/>
        <c:tickLblPos val="nextTo"/>
        <c:crossAx val="214699008"/>
        <c:crosses val="autoZero"/>
        <c:crossBetween val="midCat"/>
      </c:valAx>
    </c:plotArea>
    <c:legend>
      <c:legendPos val="r"/>
      <c:layout>
        <c:manualLayout>
          <c:xMode val="edge"/>
          <c:yMode val="edge"/>
          <c:x val="0"/>
          <c:y val="0.74659511823317171"/>
          <c:w val="0.99736977589339793"/>
          <c:h val="8.0361184360151702E-2"/>
        </c:manualLayout>
      </c:layout>
      <c:overlay val="0"/>
      <c:spPr>
        <a:solidFill>
          <a:schemeClr val="bg1"/>
        </a:solidFill>
      </c:spPr>
    </c:legend>
    <c:plotVisOnly val="1"/>
    <c:dispBlanksAs val="gap"/>
    <c:showDLblsOverMax val="0"/>
  </c:chart>
  <c:spPr>
    <a:ln>
      <a:noFill/>
    </a:ln>
  </c:spPr>
  <c:txPr>
    <a:bodyPr/>
    <a:lstStyle/>
    <a:p>
      <a:pPr>
        <a:defRPr>
          <a:latin typeface="Palatino Linotype"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54248139896394E-2"/>
          <c:y val="2.6422438720583655E-2"/>
          <c:w val="0.91960316252208374"/>
          <c:h val="0.75582166812481766"/>
        </c:manualLayout>
      </c:layout>
      <c:lineChart>
        <c:grouping val="standard"/>
        <c:varyColors val="0"/>
        <c:ser>
          <c:idx val="0"/>
          <c:order val="0"/>
          <c:tx>
            <c:v> financial assets</c:v>
          </c:tx>
          <c:spPr>
            <a:ln>
              <a:solidFill>
                <a:prstClr val="black"/>
              </a:solidFill>
            </a:ln>
          </c:spPr>
          <c:marker>
            <c:symbol val="none"/>
          </c:marker>
          <c:cat>
            <c:strRef>
              <c:f>'NFC fin assets, liab.'!$A$8:$A$74</c:f>
              <c:strCache>
                <c:ptCount val="67"/>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strCache>
            </c:strRef>
          </c:cat>
          <c:val>
            <c:numRef>
              <c:f>'NFC fin assets, liab.'!$F$8:$F$74</c:f>
              <c:numCache>
                <c:formatCode>0.0%</c:formatCode>
                <c:ptCount val="67"/>
                <c:pt idx="0">
                  <c:v>0.30911165919282513</c:v>
                </c:pt>
                <c:pt idx="1">
                  <c:v>0.30306075607560762</c:v>
                </c:pt>
                <c:pt idx="2">
                  <c:v>0.31172798033592797</c:v>
                </c:pt>
                <c:pt idx="3">
                  <c:v>0.30300408769973985</c:v>
                </c:pt>
                <c:pt idx="4">
                  <c:v>0.31972717065868267</c:v>
                </c:pt>
                <c:pt idx="5">
                  <c:v>0.34802928157984342</c:v>
                </c:pt>
                <c:pt idx="6">
                  <c:v>0.32493191865605658</c:v>
                </c:pt>
                <c:pt idx="7">
                  <c:v>0.32284231091264298</c:v>
                </c:pt>
                <c:pt idx="8">
                  <c:v>0.31298945425784336</c:v>
                </c:pt>
                <c:pt idx="9">
                  <c:v>0.32656545741324922</c:v>
                </c:pt>
                <c:pt idx="10">
                  <c:v>0.34150301422715212</c:v>
                </c:pt>
                <c:pt idx="11">
                  <c:v>0.3353084133516232</c:v>
                </c:pt>
                <c:pt idx="12">
                  <c:v>0.32798742138364784</c:v>
                </c:pt>
                <c:pt idx="13">
                  <c:v>0.34843750000000001</c:v>
                </c:pt>
                <c:pt idx="14">
                  <c:v>0.3511446900908014</c:v>
                </c:pt>
                <c:pt idx="15">
                  <c:v>0.34334802431610939</c:v>
                </c:pt>
                <c:pt idx="16">
                  <c:v>0.35499908223201176</c:v>
                </c:pt>
                <c:pt idx="17">
                  <c:v>0.35066211371009048</c:v>
                </c:pt>
                <c:pt idx="18">
                  <c:v>0.35730430560051801</c:v>
                </c:pt>
                <c:pt idx="19">
                  <c:v>0.35456645569620254</c:v>
                </c:pt>
                <c:pt idx="20">
                  <c:v>0.3653411208455013</c:v>
                </c:pt>
                <c:pt idx="21">
                  <c:v>0.35177961152723114</c:v>
                </c:pt>
                <c:pt idx="22">
                  <c:v>0.35425156174915912</c:v>
                </c:pt>
                <c:pt idx="23">
                  <c:v>0.36047966586062874</c:v>
                </c:pt>
                <c:pt idx="24">
                  <c:v>0.3679190369768387</c:v>
                </c:pt>
                <c:pt idx="25">
                  <c:v>0.3694729846865068</c:v>
                </c:pt>
                <c:pt idx="26">
                  <c:v>0.37738862264820733</c:v>
                </c:pt>
                <c:pt idx="27">
                  <c:v>0.39880717343888844</c:v>
                </c:pt>
                <c:pt idx="28">
                  <c:v>0.41362106633871087</c:v>
                </c:pt>
                <c:pt idx="29">
                  <c:v>0.41091383794598207</c:v>
                </c:pt>
                <c:pt idx="30">
                  <c:v>0.4727952005861879</c:v>
                </c:pt>
                <c:pt idx="31">
                  <c:v>0.47360884577441636</c:v>
                </c:pt>
                <c:pt idx="32">
                  <c:v>0.47552307768090246</c:v>
                </c:pt>
                <c:pt idx="33">
                  <c:v>0.47964975150405442</c:v>
                </c:pt>
                <c:pt idx="34">
                  <c:v>0.49923066115057385</c:v>
                </c:pt>
                <c:pt idx="35">
                  <c:v>0.51874911229869802</c:v>
                </c:pt>
                <c:pt idx="36">
                  <c:v>0.52452622489446077</c:v>
                </c:pt>
                <c:pt idx="37">
                  <c:v>0.53821578753227595</c:v>
                </c:pt>
                <c:pt idx="38">
                  <c:v>0.54565520851015681</c:v>
                </c:pt>
                <c:pt idx="39">
                  <c:v>0.56042048894655172</c:v>
                </c:pt>
                <c:pt idx="40">
                  <c:v>0.58648208654416134</c:v>
                </c:pt>
                <c:pt idx="41">
                  <c:v>0.59248133449922635</c:v>
                </c:pt>
                <c:pt idx="42">
                  <c:v>0.60666582214340015</c:v>
                </c:pt>
                <c:pt idx="43">
                  <c:v>0.63774752960552117</c:v>
                </c:pt>
                <c:pt idx="44">
                  <c:v>0.63500906586891892</c:v>
                </c:pt>
                <c:pt idx="45">
                  <c:v>0.61878994914231533</c:v>
                </c:pt>
                <c:pt idx="46">
                  <c:v>0.61995911283189531</c:v>
                </c:pt>
                <c:pt idx="47">
                  <c:v>0.61140119515002445</c:v>
                </c:pt>
                <c:pt idx="48">
                  <c:v>0.63382766895641474</c:v>
                </c:pt>
                <c:pt idx="49">
                  <c:v>0.63454321684638404</c:v>
                </c:pt>
                <c:pt idx="50">
                  <c:v>0.67101731695146127</c:v>
                </c:pt>
                <c:pt idx="51">
                  <c:v>0.69815288639408057</c:v>
                </c:pt>
                <c:pt idx="52">
                  <c:v>0.69826935816811475</c:v>
                </c:pt>
                <c:pt idx="53">
                  <c:v>0.77612210155228301</c:v>
                </c:pt>
                <c:pt idx="54">
                  <c:v>0.86535682899449407</c:v>
                </c:pt>
                <c:pt idx="55">
                  <c:v>0.98100209013716533</c:v>
                </c:pt>
                <c:pt idx="56">
                  <c:v>0.96146995975190064</c:v>
                </c:pt>
                <c:pt idx="57">
                  <c:v>0.93467092639748928</c:v>
                </c:pt>
                <c:pt idx="58">
                  <c:v>0.90856395505375964</c:v>
                </c:pt>
                <c:pt idx="59">
                  <c:v>0.92334078273560971</c:v>
                </c:pt>
                <c:pt idx="60">
                  <c:v>0.94340718529668077</c:v>
                </c:pt>
                <c:pt idx="61">
                  <c:v>0.9469514696648027</c:v>
                </c:pt>
                <c:pt idx="62">
                  <c:v>0.98099434017407172</c:v>
                </c:pt>
                <c:pt idx="63">
                  <c:v>0.90526975474932647</c:v>
                </c:pt>
                <c:pt idx="64">
                  <c:v>0.9571091183011694</c:v>
                </c:pt>
                <c:pt idx="65">
                  <c:v>0.98053148383987887</c:v>
                </c:pt>
                <c:pt idx="66">
                  <c:v>1.0056302239300383</c:v>
                </c:pt>
              </c:numCache>
            </c:numRef>
          </c:val>
          <c:smooth val="0"/>
        </c:ser>
        <c:ser>
          <c:idx val="1"/>
          <c:order val="1"/>
          <c:tx>
            <c:v> financial liabilities</c:v>
          </c:tx>
          <c:spPr>
            <a:ln>
              <a:solidFill>
                <a:prstClr val="black"/>
              </a:solidFill>
              <a:prstDash val="sysDash"/>
            </a:ln>
          </c:spPr>
          <c:marker>
            <c:symbol val="none"/>
          </c:marker>
          <c:cat>
            <c:strRef>
              <c:f>'NFC fin assets, liab.'!$A$8:$A$74</c:f>
              <c:strCache>
                <c:ptCount val="67"/>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strCache>
            </c:strRef>
          </c:cat>
          <c:val>
            <c:numRef>
              <c:f>'NFC fin assets, liab.'!$G$8:$G$74</c:f>
              <c:numCache>
                <c:formatCode>0.0%</c:formatCode>
                <c:ptCount val="67"/>
                <c:pt idx="0">
                  <c:v>0.31542869955156955</c:v>
                </c:pt>
                <c:pt idx="1">
                  <c:v>0.36150765076507652</c:v>
                </c:pt>
                <c:pt idx="2">
                  <c:v>0.38184965178205654</c:v>
                </c:pt>
                <c:pt idx="3">
                  <c:v>0.37920772946859904</c:v>
                </c:pt>
                <c:pt idx="4">
                  <c:v>0.37913360778443117</c:v>
                </c:pt>
                <c:pt idx="5">
                  <c:v>0.42183077970718424</c:v>
                </c:pt>
                <c:pt idx="6">
                  <c:v>0.40295814913056294</c:v>
                </c:pt>
                <c:pt idx="7">
                  <c:v>0.39504493441250349</c:v>
                </c:pt>
                <c:pt idx="8">
                  <c:v>0.38601001845504879</c:v>
                </c:pt>
                <c:pt idx="9">
                  <c:v>0.39334936908517354</c:v>
                </c:pt>
                <c:pt idx="10">
                  <c:v>0.41401639739570772</c:v>
                </c:pt>
                <c:pt idx="11">
                  <c:v>0.42060059442158215</c:v>
                </c:pt>
                <c:pt idx="12">
                  <c:v>0.41943266102797655</c:v>
                </c:pt>
                <c:pt idx="13">
                  <c:v>0.43454751712328771</c:v>
                </c:pt>
                <c:pt idx="14">
                  <c:v>0.4340746150809317</c:v>
                </c:pt>
                <c:pt idx="15">
                  <c:v>0.4377144756838906</c:v>
                </c:pt>
                <c:pt idx="16">
                  <c:v>0.44613839941262856</c:v>
                </c:pt>
                <c:pt idx="17">
                  <c:v>0.44130903192760801</c:v>
                </c:pt>
                <c:pt idx="18">
                  <c:v>0.4518091615409518</c:v>
                </c:pt>
                <c:pt idx="19">
                  <c:v>0.45428028933092229</c:v>
                </c:pt>
                <c:pt idx="20">
                  <c:v>0.46846141009595321</c:v>
                </c:pt>
                <c:pt idx="21">
                  <c:v>0.47106055604925734</c:v>
                </c:pt>
                <c:pt idx="22">
                  <c:v>0.479457232099952</c:v>
                </c:pt>
                <c:pt idx="23">
                  <c:v>0.49267289514178941</c:v>
                </c:pt>
                <c:pt idx="24">
                  <c:v>0.51081826493295412</c:v>
                </c:pt>
                <c:pt idx="25">
                  <c:v>0.52226726379659061</c:v>
                </c:pt>
                <c:pt idx="26">
                  <c:v>0.52204339723109694</c:v>
                </c:pt>
                <c:pt idx="27">
                  <c:v>0.5273676387430325</c:v>
                </c:pt>
                <c:pt idx="28">
                  <c:v>0.55316465311437457</c:v>
                </c:pt>
                <c:pt idx="29">
                  <c:v>0.51297092364121377</c:v>
                </c:pt>
                <c:pt idx="30">
                  <c:v>0.66703914025767852</c:v>
                </c:pt>
                <c:pt idx="31">
                  <c:v>0.65535503672037709</c:v>
                </c:pt>
                <c:pt idx="32">
                  <c:v>0.66156982414659371</c:v>
                </c:pt>
                <c:pt idx="33">
                  <c:v>0.67200170023541717</c:v>
                </c:pt>
                <c:pt idx="34">
                  <c:v>0.70275306377331981</c:v>
                </c:pt>
                <c:pt idx="35">
                  <c:v>0.72590341092500277</c:v>
                </c:pt>
                <c:pt idx="36">
                  <c:v>0.73805187412050655</c:v>
                </c:pt>
                <c:pt idx="37">
                  <c:v>0.75885017828599544</c:v>
                </c:pt>
                <c:pt idx="38">
                  <c:v>0.74261625077802296</c:v>
                </c:pt>
                <c:pt idx="39">
                  <c:v>0.74883678038108314</c:v>
                </c:pt>
                <c:pt idx="40">
                  <c:v>0.78742698280972145</c:v>
                </c:pt>
                <c:pt idx="41">
                  <c:v>0.78687305217371806</c:v>
                </c:pt>
                <c:pt idx="42">
                  <c:v>0.799023541086057</c:v>
                </c:pt>
                <c:pt idx="43">
                  <c:v>0.82382083758136626</c:v>
                </c:pt>
                <c:pt idx="44">
                  <c:v>0.82866757264551894</c:v>
                </c:pt>
                <c:pt idx="45">
                  <c:v>0.81713214378070864</c:v>
                </c:pt>
                <c:pt idx="46">
                  <c:v>0.80780108809933093</c:v>
                </c:pt>
                <c:pt idx="47">
                  <c:v>0.80735635337338196</c:v>
                </c:pt>
                <c:pt idx="48">
                  <c:v>0.80990530041695419</c:v>
                </c:pt>
                <c:pt idx="49">
                  <c:v>0.79598901936430888</c:v>
                </c:pt>
                <c:pt idx="50">
                  <c:v>0.81232284515894115</c:v>
                </c:pt>
                <c:pt idx="51">
                  <c:v>0.81566710467563952</c:v>
                </c:pt>
                <c:pt idx="52">
                  <c:v>0.79753354375690089</c:v>
                </c:pt>
                <c:pt idx="53">
                  <c:v>0.8501885028714391</c:v>
                </c:pt>
                <c:pt idx="54">
                  <c:v>0.90097242743358108</c:v>
                </c:pt>
                <c:pt idx="55">
                  <c:v>0.96792942772446355</c:v>
                </c:pt>
                <c:pt idx="56">
                  <c:v>0.95596388364993856</c:v>
                </c:pt>
                <c:pt idx="57">
                  <c:v>0.93495151424034284</c:v>
                </c:pt>
                <c:pt idx="58">
                  <c:v>0.88803920231193112</c:v>
                </c:pt>
                <c:pt idx="59">
                  <c:v>0.87585382973517933</c:v>
                </c:pt>
                <c:pt idx="60">
                  <c:v>0.88584982175394134</c:v>
                </c:pt>
                <c:pt idx="61">
                  <c:v>0.88370351045061746</c:v>
                </c:pt>
                <c:pt idx="62">
                  <c:v>0.92068103245489608</c:v>
                </c:pt>
                <c:pt idx="63">
                  <c:v>0.92537327082531573</c:v>
                </c:pt>
                <c:pt idx="64">
                  <c:v>0.92533764975966715</c:v>
                </c:pt>
                <c:pt idx="65">
                  <c:v>0.9140999139503666</c:v>
                </c:pt>
                <c:pt idx="66">
                  <c:v>0.90080323307274413</c:v>
                </c:pt>
              </c:numCache>
            </c:numRef>
          </c:val>
          <c:smooth val="0"/>
        </c:ser>
        <c:dLbls>
          <c:showLegendKey val="0"/>
          <c:showVal val="0"/>
          <c:showCatName val="0"/>
          <c:showSerName val="0"/>
          <c:showPercent val="0"/>
          <c:showBubbleSize val="0"/>
        </c:dLbls>
        <c:marker val="1"/>
        <c:smooth val="0"/>
        <c:axId val="214722048"/>
        <c:axId val="214723584"/>
      </c:lineChart>
      <c:catAx>
        <c:axId val="214722048"/>
        <c:scaling>
          <c:orientation val="minMax"/>
        </c:scaling>
        <c:delete val="0"/>
        <c:axPos val="b"/>
        <c:majorGridlines/>
        <c:numFmt formatCode="General" sourceLinked="1"/>
        <c:majorTickMark val="out"/>
        <c:minorTickMark val="none"/>
        <c:tickLblPos val="low"/>
        <c:spPr>
          <a:ln w="19050">
            <a:noFill/>
          </a:ln>
        </c:spPr>
        <c:txPr>
          <a:bodyPr rot="0" vert="horz"/>
          <a:lstStyle/>
          <a:p>
            <a:pPr>
              <a:defRPr/>
            </a:pPr>
            <a:endParaRPr lang="en-US"/>
          </a:p>
        </c:txPr>
        <c:crossAx val="214723584"/>
        <c:crosses val="autoZero"/>
        <c:auto val="1"/>
        <c:lblAlgn val="ctr"/>
        <c:lblOffset val="100"/>
        <c:tickLblSkip val="10"/>
        <c:tickMarkSkip val="5"/>
        <c:noMultiLvlLbl val="0"/>
      </c:catAx>
      <c:valAx>
        <c:axId val="214723584"/>
        <c:scaling>
          <c:orientation val="minMax"/>
          <c:max val="1.02"/>
          <c:min val="0.30000000000000004"/>
        </c:scaling>
        <c:delete val="0"/>
        <c:axPos val="l"/>
        <c:majorGridlines/>
        <c:numFmt formatCode="0%" sourceLinked="0"/>
        <c:majorTickMark val="out"/>
        <c:minorTickMark val="none"/>
        <c:tickLblPos val="nextTo"/>
        <c:crossAx val="214722048"/>
        <c:crosses val="autoZero"/>
        <c:crossBetween val="midCat"/>
        <c:majorUnit val="0.1"/>
      </c:valAx>
    </c:plotArea>
    <c:legend>
      <c:legendPos val="r"/>
      <c:layout>
        <c:manualLayout>
          <c:xMode val="edge"/>
          <c:yMode val="edge"/>
          <c:x val="0"/>
          <c:y val="0.90507505189302317"/>
          <c:w val="0.99939961684853706"/>
          <c:h val="9.3523986585010224E-2"/>
        </c:manualLayout>
      </c:layout>
      <c:overlay val="0"/>
      <c:spPr>
        <a:solidFill>
          <a:sysClr val="window" lastClr="FFFFFF"/>
        </a:solidFill>
        <a:ln>
          <a:noFill/>
        </a:ln>
      </c:spPr>
    </c:legend>
    <c:plotVisOnly val="1"/>
    <c:dispBlanksAs val="gap"/>
    <c:showDLblsOverMax val="0"/>
  </c:chart>
  <c:spPr>
    <a:ln>
      <a:noFill/>
    </a:ln>
  </c:spPr>
  <c:txPr>
    <a:bodyPr/>
    <a:lstStyle/>
    <a:p>
      <a:pPr>
        <a:defRPr sz="1000">
          <a:latin typeface="Palatino Linotype"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66940418125998"/>
          <c:y val="4.5350513004056313E-2"/>
          <c:w val="0.71494580904754834"/>
          <c:h val="0.75974039608685273"/>
        </c:manualLayout>
      </c:layout>
      <c:scatterChart>
        <c:scatterStyle val="lineMarker"/>
        <c:varyColors val="0"/>
        <c:ser>
          <c:idx val="0"/>
          <c:order val="0"/>
          <c:tx>
            <c:v> 1947-1988</c:v>
          </c:tx>
          <c:spPr>
            <a:ln w="28575">
              <a:noFill/>
            </a:ln>
          </c:spPr>
          <c:marker>
            <c:symbol val="circle"/>
            <c:size val="5"/>
            <c:spPr>
              <a:solidFill>
                <a:schemeClr val="tx1"/>
              </a:solidFill>
              <a:ln>
                <a:noFill/>
              </a:ln>
            </c:spPr>
          </c:marker>
          <c:trendline>
            <c:spPr>
              <a:ln w="15875">
                <a:prstDash val="sysDash"/>
              </a:ln>
            </c:spPr>
            <c:trendlineType val="linear"/>
            <c:dispRSqr val="0"/>
            <c:dispEq val="0"/>
          </c:trendline>
          <c:xVal>
            <c:numRef>
              <c:f>'prod invest, div., borrow'!$U$5:$U$66</c:f>
              <c:numCache>
                <c:formatCode>0.0%</c:formatCode>
                <c:ptCount val="62"/>
                <c:pt idx="0">
                  <c:v>0.70103092783505172</c:v>
                </c:pt>
                <c:pt idx="1">
                  <c:v>0.68309859154929564</c:v>
                </c:pt>
                <c:pt idx="2">
                  <c:v>0.52403846153846134</c:v>
                </c:pt>
                <c:pt idx="3">
                  <c:v>0.4086538461538457</c:v>
                </c:pt>
                <c:pt idx="4">
                  <c:v>0.46733668341708529</c:v>
                </c:pt>
                <c:pt idx="5">
                  <c:v>0.6000000000000002</c:v>
                </c:pt>
                <c:pt idx="6">
                  <c:v>0.57534246575342474</c:v>
                </c:pt>
                <c:pt idx="7">
                  <c:v>0.64319248826291131</c:v>
                </c:pt>
                <c:pt idx="8">
                  <c:v>0.52838427947598243</c:v>
                </c:pt>
                <c:pt idx="9">
                  <c:v>0.47202797202797214</c:v>
                </c:pt>
                <c:pt idx="10">
                  <c:v>0.63957597173144876</c:v>
                </c:pt>
                <c:pt idx="11">
                  <c:v>0.6736111111111116</c:v>
                </c:pt>
                <c:pt idx="12">
                  <c:v>0.49812734082396976</c:v>
                </c:pt>
                <c:pt idx="13">
                  <c:v>0.44879518072289282</c:v>
                </c:pt>
                <c:pt idx="14">
                  <c:v>0.52583586626139833</c:v>
                </c:pt>
                <c:pt idx="15">
                  <c:v>0.47416413373860195</c:v>
                </c:pt>
                <c:pt idx="16">
                  <c:v>0.44501278772378466</c:v>
                </c:pt>
                <c:pt idx="17">
                  <c:v>0.42583732057416313</c:v>
                </c:pt>
                <c:pt idx="18">
                  <c:v>0.46680942184154167</c:v>
                </c:pt>
                <c:pt idx="19">
                  <c:v>0.52380952380952384</c:v>
                </c:pt>
                <c:pt idx="20">
                  <c:v>0.5976230899830216</c:v>
                </c:pt>
                <c:pt idx="21">
                  <c:v>0.57785467128027612</c:v>
                </c:pt>
                <c:pt idx="22">
                  <c:v>0.62842465753424637</c:v>
                </c:pt>
                <c:pt idx="23">
                  <c:v>0.75090252707581151</c:v>
                </c:pt>
                <c:pt idx="24">
                  <c:v>0.81451612903225878</c:v>
                </c:pt>
                <c:pt idx="25">
                  <c:v>0.66611570247933882</c:v>
                </c:pt>
                <c:pt idx="26">
                  <c:v>0.67326732673267231</c:v>
                </c:pt>
                <c:pt idx="27">
                  <c:v>0.83768913342503404</c:v>
                </c:pt>
                <c:pt idx="28">
                  <c:v>1.1147286821705422</c:v>
                </c:pt>
                <c:pt idx="29">
                  <c:v>0.71398747390396644</c:v>
                </c:pt>
                <c:pt idx="30">
                  <c:v>0.68067978533094786</c:v>
                </c:pt>
                <c:pt idx="31">
                  <c:v>0.7118518518518524</c:v>
                </c:pt>
                <c:pt idx="32">
                  <c:v>0.82460732984293195</c:v>
                </c:pt>
                <c:pt idx="33">
                  <c:v>1.0246831220813877</c:v>
                </c:pt>
                <c:pt idx="34">
                  <c:v>1.1882693700217226</c:v>
                </c:pt>
                <c:pt idx="35">
                  <c:v>1.0381215469613259</c:v>
                </c:pt>
                <c:pt idx="36">
                  <c:v>0.94046968869470249</c:v>
                </c:pt>
                <c:pt idx="37">
                  <c:v>0.71441947565543085</c:v>
                </c:pt>
                <c:pt idx="38">
                  <c:v>0.78318584070796482</c:v>
                </c:pt>
                <c:pt idx="39">
                  <c:v>0.78783151326053047</c:v>
                </c:pt>
                <c:pt idx="40">
                  <c:v>0.76742121615623626</c:v>
                </c:pt>
                <c:pt idx="41">
                  <c:v>0.62751407884151256</c:v>
                </c:pt>
                <c:pt idx="42">
                  <c:v>0.57714676702018541</c:v>
                </c:pt>
                <c:pt idx="43">
                  <c:v>0.67026249550521455</c:v>
                </c:pt>
                <c:pt idx="44">
                  <c:v>0.70420049417578534</c:v>
                </c:pt>
                <c:pt idx="45">
                  <c:v>0.5174714104193131</c:v>
                </c:pt>
                <c:pt idx="46">
                  <c:v>0.46546635182998863</c:v>
                </c:pt>
                <c:pt idx="47">
                  <c:v>0.52719200887902318</c:v>
                </c:pt>
                <c:pt idx="48">
                  <c:v>0.51968503937007904</c:v>
                </c:pt>
                <c:pt idx="49">
                  <c:v>0.56133671742808833</c:v>
                </c:pt>
                <c:pt idx="50">
                  <c:v>0.55028248587570638</c:v>
                </c:pt>
                <c:pt idx="51">
                  <c:v>0.53810975609756118</c:v>
                </c:pt>
                <c:pt idx="52">
                  <c:v>0.67335801987916544</c:v>
                </c:pt>
                <c:pt idx="53">
                  <c:v>0.70704761904761904</c:v>
                </c:pt>
                <c:pt idx="54">
                  <c:v>0.88265635074145743</c:v>
                </c:pt>
                <c:pt idx="55">
                  <c:v>0.67668190725016353</c:v>
                </c:pt>
                <c:pt idx="56">
                  <c:v>0.3265445832620229</c:v>
                </c:pt>
                <c:pt idx="57">
                  <c:v>0.28859483301827354</c:v>
                </c:pt>
                <c:pt idx="58">
                  <c:v>0.27661679238283643</c:v>
                </c:pt>
                <c:pt idx="59">
                  <c:v>0.32831157236915604</c:v>
                </c:pt>
                <c:pt idx="60">
                  <c:v>0.3981089333202007</c:v>
                </c:pt>
                <c:pt idx="61">
                  <c:v>0.54153522607781268</c:v>
                </c:pt>
              </c:numCache>
            </c:numRef>
          </c:xVal>
          <c:yVal>
            <c:numRef>
              <c:f>'prod invest, div., borrow'!$V$5:$V$66</c:f>
              <c:numCache>
                <c:formatCode>0.0%</c:formatCode>
                <c:ptCount val="62"/>
                <c:pt idx="1">
                  <c:v>0.39436619718309851</c:v>
                </c:pt>
                <c:pt idx="2">
                  <c:v>0.29807692307692274</c:v>
                </c:pt>
                <c:pt idx="3">
                  <c:v>0.30769230769230749</c:v>
                </c:pt>
                <c:pt idx="4">
                  <c:v>0.39698492462311608</c:v>
                </c:pt>
                <c:pt idx="5">
                  <c:v>0.36097560975609744</c:v>
                </c:pt>
                <c:pt idx="6">
                  <c:v>0.34246575342465746</c:v>
                </c:pt>
                <c:pt idx="7">
                  <c:v>0.36619718309859167</c:v>
                </c:pt>
                <c:pt idx="8">
                  <c:v>0.34497816593886454</c:v>
                </c:pt>
                <c:pt idx="9">
                  <c:v>0.31118881118881109</c:v>
                </c:pt>
                <c:pt idx="10">
                  <c:v>0.33568904593639565</c:v>
                </c:pt>
                <c:pt idx="11">
                  <c:v>0.34375000000000028</c:v>
                </c:pt>
                <c:pt idx="12">
                  <c:v>0.36704119850187267</c:v>
                </c:pt>
                <c:pt idx="13">
                  <c:v>0.32228915662650581</c:v>
                </c:pt>
                <c:pt idx="14">
                  <c:v>0.34650455927051754</c:v>
                </c:pt>
                <c:pt idx="15">
                  <c:v>0.34954407294832751</c:v>
                </c:pt>
                <c:pt idx="16">
                  <c:v>0.31713554987212311</c:v>
                </c:pt>
                <c:pt idx="17">
                  <c:v>0.3253588516746409</c:v>
                </c:pt>
                <c:pt idx="18">
                  <c:v>0.32119914346895084</c:v>
                </c:pt>
                <c:pt idx="19">
                  <c:v>0.30952380952380948</c:v>
                </c:pt>
                <c:pt idx="20">
                  <c:v>0.30220713073005095</c:v>
                </c:pt>
                <c:pt idx="21">
                  <c:v>0.31660899653979252</c:v>
                </c:pt>
                <c:pt idx="22">
                  <c:v>0.3458904109589041</c:v>
                </c:pt>
                <c:pt idx="23">
                  <c:v>0.36823104693140724</c:v>
                </c:pt>
                <c:pt idx="24">
                  <c:v>0.41129032258064541</c:v>
                </c:pt>
                <c:pt idx="25">
                  <c:v>0.33553719008264432</c:v>
                </c:pt>
                <c:pt idx="26">
                  <c:v>0.30975954738331019</c:v>
                </c:pt>
                <c:pt idx="27">
                  <c:v>0.31774415405777084</c:v>
                </c:pt>
                <c:pt idx="28">
                  <c:v>0.36434108527131753</c:v>
                </c:pt>
                <c:pt idx="29">
                  <c:v>0.27557411273486432</c:v>
                </c:pt>
                <c:pt idx="30">
                  <c:v>0.26923076923076916</c:v>
                </c:pt>
                <c:pt idx="31">
                  <c:v>0.2496296296296297</c:v>
                </c:pt>
                <c:pt idx="32">
                  <c:v>0.2591623036649216</c:v>
                </c:pt>
                <c:pt idx="33">
                  <c:v>0.27685123415610424</c:v>
                </c:pt>
                <c:pt idx="34">
                  <c:v>0.34250543084721136</c:v>
                </c:pt>
                <c:pt idx="35">
                  <c:v>0.32209944751381214</c:v>
                </c:pt>
                <c:pt idx="36">
                  <c:v>0.3347897323866737</c:v>
                </c:pt>
                <c:pt idx="37">
                  <c:v>0.33380149812734117</c:v>
                </c:pt>
                <c:pt idx="38">
                  <c:v>0.3157683024939657</c:v>
                </c:pt>
                <c:pt idx="39">
                  <c:v>0.33424336973478941</c:v>
                </c:pt>
                <c:pt idx="40">
                  <c:v>0.39192188193519878</c:v>
                </c:pt>
                <c:pt idx="41">
                  <c:v>0.38455349959774782</c:v>
                </c:pt>
                <c:pt idx="42">
                  <c:v>0.33527198084160065</c:v>
                </c:pt>
              </c:numCache>
            </c:numRef>
          </c:yVal>
          <c:smooth val="0"/>
        </c:ser>
        <c:ser>
          <c:idx val="2"/>
          <c:order val="1"/>
          <c:tx>
            <c:v> 1989-2007</c:v>
          </c:tx>
          <c:spPr>
            <a:ln w="28575">
              <a:noFill/>
            </a:ln>
          </c:spPr>
          <c:marker>
            <c:symbol val="circle"/>
            <c:size val="6"/>
            <c:spPr>
              <a:solidFill>
                <a:sysClr val="window" lastClr="FFFFFF"/>
              </a:solidFill>
              <a:ln w="12700">
                <a:solidFill>
                  <a:prstClr val="black"/>
                </a:solidFill>
              </a:ln>
            </c:spPr>
          </c:marker>
          <c:trendline>
            <c:spPr>
              <a:ln w="15875" cmpd="sng">
                <a:solidFill>
                  <a:schemeClr val="bg1">
                    <a:lumMod val="50000"/>
                  </a:schemeClr>
                </a:solidFill>
                <a:prstDash val="sysDash"/>
              </a:ln>
              <a:effectLst/>
            </c:spPr>
            <c:trendlineType val="linear"/>
            <c:dispRSqr val="0"/>
            <c:dispEq val="0"/>
          </c:trendline>
          <c:xVal>
            <c:numRef>
              <c:f>'prod invest, div., borrow'!$U$5:$U$66</c:f>
              <c:numCache>
                <c:formatCode>0.0%</c:formatCode>
                <c:ptCount val="62"/>
                <c:pt idx="0">
                  <c:v>0.70103092783505172</c:v>
                </c:pt>
                <c:pt idx="1">
                  <c:v>0.68309859154929564</c:v>
                </c:pt>
                <c:pt idx="2">
                  <c:v>0.52403846153846134</c:v>
                </c:pt>
                <c:pt idx="3">
                  <c:v>0.4086538461538457</c:v>
                </c:pt>
                <c:pt idx="4">
                  <c:v>0.46733668341708529</c:v>
                </c:pt>
                <c:pt idx="5">
                  <c:v>0.6000000000000002</c:v>
                </c:pt>
                <c:pt idx="6">
                  <c:v>0.57534246575342474</c:v>
                </c:pt>
                <c:pt idx="7">
                  <c:v>0.64319248826291131</c:v>
                </c:pt>
                <c:pt idx="8">
                  <c:v>0.52838427947598243</c:v>
                </c:pt>
                <c:pt idx="9">
                  <c:v>0.47202797202797214</c:v>
                </c:pt>
                <c:pt idx="10">
                  <c:v>0.63957597173144876</c:v>
                </c:pt>
                <c:pt idx="11">
                  <c:v>0.6736111111111116</c:v>
                </c:pt>
                <c:pt idx="12">
                  <c:v>0.49812734082396976</c:v>
                </c:pt>
                <c:pt idx="13">
                  <c:v>0.44879518072289282</c:v>
                </c:pt>
                <c:pt idx="14">
                  <c:v>0.52583586626139833</c:v>
                </c:pt>
                <c:pt idx="15">
                  <c:v>0.47416413373860195</c:v>
                </c:pt>
                <c:pt idx="16">
                  <c:v>0.44501278772378466</c:v>
                </c:pt>
                <c:pt idx="17">
                  <c:v>0.42583732057416313</c:v>
                </c:pt>
                <c:pt idx="18">
                  <c:v>0.46680942184154167</c:v>
                </c:pt>
                <c:pt idx="19">
                  <c:v>0.52380952380952384</c:v>
                </c:pt>
                <c:pt idx="20">
                  <c:v>0.5976230899830216</c:v>
                </c:pt>
                <c:pt idx="21">
                  <c:v>0.57785467128027612</c:v>
                </c:pt>
                <c:pt idx="22">
                  <c:v>0.62842465753424637</c:v>
                </c:pt>
                <c:pt idx="23">
                  <c:v>0.75090252707581151</c:v>
                </c:pt>
                <c:pt idx="24">
                  <c:v>0.81451612903225878</c:v>
                </c:pt>
                <c:pt idx="25">
                  <c:v>0.66611570247933882</c:v>
                </c:pt>
                <c:pt idx="26">
                  <c:v>0.67326732673267231</c:v>
                </c:pt>
                <c:pt idx="27">
                  <c:v>0.83768913342503404</c:v>
                </c:pt>
                <c:pt idx="28">
                  <c:v>1.1147286821705422</c:v>
                </c:pt>
                <c:pt idx="29">
                  <c:v>0.71398747390396644</c:v>
                </c:pt>
                <c:pt idx="30">
                  <c:v>0.68067978533094786</c:v>
                </c:pt>
                <c:pt idx="31">
                  <c:v>0.7118518518518524</c:v>
                </c:pt>
                <c:pt idx="32">
                  <c:v>0.82460732984293195</c:v>
                </c:pt>
                <c:pt idx="33">
                  <c:v>1.0246831220813877</c:v>
                </c:pt>
                <c:pt idx="34">
                  <c:v>1.1882693700217226</c:v>
                </c:pt>
                <c:pt idx="35">
                  <c:v>1.0381215469613259</c:v>
                </c:pt>
                <c:pt idx="36">
                  <c:v>0.94046968869470249</c:v>
                </c:pt>
                <c:pt idx="37">
                  <c:v>0.71441947565543085</c:v>
                </c:pt>
                <c:pt idx="38">
                  <c:v>0.78318584070796482</c:v>
                </c:pt>
                <c:pt idx="39">
                  <c:v>0.78783151326053047</c:v>
                </c:pt>
                <c:pt idx="40">
                  <c:v>0.76742121615623626</c:v>
                </c:pt>
                <c:pt idx="41">
                  <c:v>0.62751407884151256</c:v>
                </c:pt>
                <c:pt idx="42">
                  <c:v>0.57714676702018541</c:v>
                </c:pt>
                <c:pt idx="43">
                  <c:v>0.67026249550521455</c:v>
                </c:pt>
                <c:pt idx="44">
                  <c:v>0.70420049417578534</c:v>
                </c:pt>
                <c:pt idx="45">
                  <c:v>0.5174714104193131</c:v>
                </c:pt>
                <c:pt idx="46">
                  <c:v>0.46546635182998863</c:v>
                </c:pt>
                <c:pt idx="47">
                  <c:v>0.52719200887902318</c:v>
                </c:pt>
                <c:pt idx="48">
                  <c:v>0.51968503937007904</c:v>
                </c:pt>
                <c:pt idx="49">
                  <c:v>0.56133671742808833</c:v>
                </c:pt>
                <c:pt idx="50">
                  <c:v>0.55028248587570638</c:v>
                </c:pt>
                <c:pt idx="51">
                  <c:v>0.53810975609756118</c:v>
                </c:pt>
                <c:pt idx="52">
                  <c:v>0.67335801987916544</c:v>
                </c:pt>
                <c:pt idx="53">
                  <c:v>0.70704761904761904</c:v>
                </c:pt>
                <c:pt idx="54">
                  <c:v>0.88265635074145743</c:v>
                </c:pt>
                <c:pt idx="55">
                  <c:v>0.67668190725016353</c:v>
                </c:pt>
                <c:pt idx="56">
                  <c:v>0.3265445832620229</c:v>
                </c:pt>
                <c:pt idx="57">
                  <c:v>0.28859483301827354</c:v>
                </c:pt>
                <c:pt idx="58">
                  <c:v>0.27661679238283643</c:v>
                </c:pt>
                <c:pt idx="59">
                  <c:v>0.32831157236915604</c:v>
                </c:pt>
                <c:pt idx="60">
                  <c:v>0.3981089333202007</c:v>
                </c:pt>
                <c:pt idx="61">
                  <c:v>0.54153522607781268</c:v>
                </c:pt>
              </c:numCache>
            </c:numRef>
          </c:xVal>
          <c:yVal>
            <c:numRef>
              <c:f>'prod invest, div., borrow'!$X$5:$X$66</c:f>
              <c:numCache>
                <c:formatCode>General</c:formatCode>
                <c:ptCount val="62"/>
                <c:pt idx="43" formatCode="0.0%">
                  <c:v>0.45451276519237699</c:v>
                </c:pt>
                <c:pt idx="44" formatCode="0.0%">
                  <c:v>0.50864807624426367</c:v>
                </c:pt>
                <c:pt idx="45" formatCode="0.0%">
                  <c:v>0.49682337992376191</c:v>
                </c:pt>
                <c:pt idx="46" formatCode="0.0%">
                  <c:v>0.4722550177095633</c:v>
                </c:pt>
                <c:pt idx="47" formatCode="0.0%">
                  <c:v>0.50582685904550517</c:v>
                </c:pt>
                <c:pt idx="48" formatCode="0.0%">
                  <c:v>0.47148651873061359</c:v>
                </c:pt>
                <c:pt idx="49" formatCode="0.0%">
                  <c:v>0.4686971235194583</c:v>
                </c:pt>
                <c:pt idx="50" formatCode="0.0%">
                  <c:v>0.48455743879472707</c:v>
                </c:pt>
                <c:pt idx="51" formatCode="0.0%">
                  <c:v>0.48102981029810349</c:v>
                </c:pt>
                <c:pt idx="52" formatCode="0.0%">
                  <c:v>0.60261157669070375</c:v>
                </c:pt>
                <c:pt idx="53" formatCode="0.0%">
                  <c:v>0.56323809523809498</c:v>
                </c:pt>
                <c:pt idx="54" formatCode="0.0%">
                  <c:v>0.74897915323447306</c:v>
                </c:pt>
                <c:pt idx="55" formatCode="0.0%">
                  <c:v>0.71870237317657215</c:v>
                </c:pt>
                <c:pt idx="56" formatCode="0.0%">
                  <c:v>0.60106109875064184</c:v>
                </c:pt>
                <c:pt idx="57" formatCode="0.0%">
                  <c:v>0.61877756773787029</c:v>
                </c:pt>
                <c:pt idx="58" formatCode="0.0%">
                  <c:v>0.60343761592679612</c:v>
                </c:pt>
                <c:pt idx="59" formatCode="0.0%">
                  <c:v>0.33087825019529044</c:v>
                </c:pt>
                <c:pt idx="60" formatCode="0.0%">
                  <c:v>0.61745296956564544</c:v>
                </c:pt>
                <c:pt idx="61" formatCode="0.0%">
                  <c:v>0.75908400514078767</c:v>
                </c:pt>
              </c:numCache>
            </c:numRef>
          </c:yVal>
          <c:smooth val="0"/>
        </c:ser>
        <c:dLbls>
          <c:showLegendKey val="0"/>
          <c:showVal val="0"/>
          <c:showCatName val="0"/>
          <c:showSerName val="0"/>
          <c:showPercent val="0"/>
          <c:showBubbleSize val="0"/>
        </c:dLbls>
        <c:axId val="214738048"/>
        <c:axId val="214739968"/>
      </c:scatterChart>
      <c:valAx>
        <c:axId val="214738048"/>
        <c:scaling>
          <c:orientation val="minMax"/>
          <c:max val="1.2"/>
          <c:min val="0.2"/>
        </c:scaling>
        <c:delete val="0"/>
        <c:axPos val="b"/>
        <c:title>
          <c:tx>
            <c:rich>
              <a:bodyPr/>
              <a:lstStyle/>
              <a:p>
                <a:pPr>
                  <a:defRPr/>
                </a:pPr>
                <a:r>
                  <a:rPr lang="en-US"/>
                  <a:t>net investment in production</a:t>
                </a:r>
              </a:p>
            </c:rich>
          </c:tx>
          <c:layout>
            <c:manualLayout>
              <c:xMode val="edge"/>
              <c:yMode val="edge"/>
              <c:x val="0.3152955527023536"/>
              <c:y val="0.91276190476190477"/>
            </c:manualLayout>
          </c:layout>
          <c:overlay val="0"/>
        </c:title>
        <c:numFmt formatCode="0%" sourceLinked="0"/>
        <c:majorTickMark val="out"/>
        <c:minorTickMark val="none"/>
        <c:tickLblPos val="nextTo"/>
        <c:crossAx val="214739968"/>
        <c:crosses val="autoZero"/>
        <c:crossBetween val="midCat"/>
        <c:majorUnit val="0.2"/>
      </c:valAx>
      <c:valAx>
        <c:axId val="214739968"/>
        <c:scaling>
          <c:orientation val="minMax"/>
          <c:max val="0.8"/>
          <c:min val="0.2"/>
        </c:scaling>
        <c:delete val="0"/>
        <c:axPos val="l"/>
        <c:title>
          <c:tx>
            <c:rich>
              <a:bodyPr rot="-5400000" vert="horz"/>
              <a:lstStyle/>
              <a:p>
                <a:pPr>
                  <a:defRPr/>
                </a:pPr>
                <a:r>
                  <a:rPr lang="en-US"/>
                  <a:t>net dividends</a:t>
                </a:r>
              </a:p>
            </c:rich>
          </c:tx>
          <c:layout>
            <c:manualLayout>
              <c:xMode val="edge"/>
              <c:yMode val="edge"/>
              <c:x val="1.5752462717694961E-2"/>
              <c:y val="0.28387006169683332"/>
            </c:manualLayout>
          </c:layout>
          <c:overlay val="0"/>
        </c:title>
        <c:numFmt formatCode="0%" sourceLinked="0"/>
        <c:majorTickMark val="out"/>
        <c:minorTickMark val="none"/>
        <c:tickLblPos val="nextTo"/>
        <c:crossAx val="214738048"/>
        <c:crosses val="autoZero"/>
        <c:crossBetween val="midCat"/>
        <c:majorUnit val="0.1"/>
      </c:valAx>
    </c:plotArea>
    <c:legend>
      <c:legendPos val="r"/>
      <c:legendEntry>
        <c:idx val="2"/>
        <c:delete val="1"/>
      </c:legendEntry>
      <c:legendEntry>
        <c:idx val="3"/>
        <c:delete val="1"/>
      </c:legendEntry>
      <c:layout>
        <c:manualLayout>
          <c:xMode val="edge"/>
          <c:yMode val="edge"/>
          <c:x val="0.86820593093510801"/>
          <c:y val="0.24708893206531002"/>
          <c:w val="0.1182919581640106"/>
          <c:h val="0.3361248934792242"/>
        </c:manualLayout>
      </c:layout>
      <c:overlay val="0"/>
    </c:legend>
    <c:plotVisOnly val="1"/>
    <c:dispBlanksAs val="gap"/>
    <c:showDLblsOverMax val="0"/>
  </c:chart>
  <c:spPr>
    <a:ln>
      <a:noFill/>
    </a:ln>
  </c:spPr>
  <c:txPr>
    <a:bodyPr/>
    <a:lstStyle/>
    <a:p>
      <a:pPr>
        <a:defRPr sz="1200">
          <a:latin typeface="Palatino Linotype"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352777777777777"/>
          <c:y val="6.0624817731116942E-2"/>
          <c:w val="0.65423337707786522"/>
          <c:h val="0.73988444152814237"/>
        </c:manualLayout>
      </c:layout>
      <c:scatterChart>
        <c:scatterStyle val="lineMarker"/>
        <c:varyColors val="0"/>
        <c:ser>
          <c:idx val="1"/>
          <c:order val="0"/>
          <c:tx>
            <c:v> 1947-1988</c:v>
          </c:tx>
          <c:spPr>
            <a:ln w="28575">
              <a:noFill/>
            </a:ln>
          </c:spPr>
          <c:marker>
            <c:symbol val="circle"/>
            <c:size val="5"/>
            <c:spPr>
              <a:solidFill>
                <a:schemeClr val="tx1"/>
              </a:solidFill>
              <a:ln>
                <a:noFill/>
              </a:ln>
            </c:spPr>
          </c:marker>
          <c:trendline>
            <c:spPr>
              <a:ln w="15875">
                <a:solidFill>
                  <a:schemeClr val="tx1"/>
                </a:solidFill>
                <a:prstDash val="sysDash"/>
              </a:ln>
            </c:spPr>
            <c:trendlineType val="linear"/>
            <c:dispRSqr val="0"/>
            <c:dispEq val="0"/>
          </c:trendline>
          <c:xVal>
            <c:numRef>
              <c:f>'prod invest, div., borrow'!$U$6:$U$66</c:f>
              <c:numCache>
                <c:formatCode>0.0%</c:formatCode>
                <c:ptCount val="61"/>
                <c:pt idx="0">
                  <c:v>0.68309859154929564</c:v>
                </c:pt>
                <c:pt idx="1">
                  <c:v>0.52403846153846134</c:v>
                </c:pt>
                <c:pt idx="2">
                  <c:v>0.4086538461538457</c:v>
                </c:pt>
                <c:pt idx="3">
                  <c:v>0.46733668341708529</c:v>
                </c:pt>
                <c:pt idx="4">
                  <c:v>0.6000000000000002</c:v>
                </c:pt>
                <c:pt idx="5">
                  <c:v>0.57534246575342474</c:v>
                </c:pt>
                <c:pt idx="6">
                  <c:v>0.64319248826291131</c:v>
                </c:pt>
                <c:pt idx="7">
                  <c:v>0.52838427947598243</c:v>
                </c:pt>
                <c:pt idx="8">
                  <c:v>0.47202797202797214</c:v>
                </c:pt>
                <c:pt idx="9">
                  <c:v>0.63957597173144876</c:v>
                </c:pt>
                <c:pt idx="10">
                  <c:v>0.6736111111111116</c:v>
                </c:pt>
                <c:pt idx="11">
                  <c:v>0.49812734082396976</c:v>
                </c:pt>
                <c:pt idx="12">
                  <c:v>0.44879518072289282</c:v>
                </c:pt>
                <c:pt idx="13">
                  <c:v>0.52583586626139833</c:v>
                </c:pt>
                <c:pt idx="14">
                  <c:v>0.47416413373860195</c:v>
                </c:pt>
                <c:pt idx="15">
                  <c:v>0.44501278772378466</c:v>
                </c:pt>
                <c:pt idx="16">
                  <c:v>0.42583732057416313</c:v>
                </c:pt>
                <c:pt idx="17">
                  <c:v>0.46680942184154167</c:v>
                </c:pt>
                <c:pt idx="18">
                  <c:v>0.52380952380952384</c:v>
                </c:pt>
                <c:pt idx="19">
                  <c:v>0.5976230899830216</c:v>
                </c:pt>
                <c:pt idx="20">
                  <c:v>0.57785467128027612</c:v>
                </c:pt>
                <c:pt idx="21">
                  <c:v>0.62842465753424637</c:v>
                </c:pt>
                <c:pt idx="22">
                  <c:v>0.75090252707581151</c:v>
                </c:pt>
                <c:pt idx="23">
                  <c:v>0.81451612903225878</c:v>
                </c:pt>
                <c:pt idx="24">
                  <c:v>0.66611570247933882</c:v>
                </c:pt>
                <c:pt idx="25">
                  <c:v>0.67326732673267231</c:v>
                </c:pt>
                <c:pt idx="26">
                  <c:v>0.83768913342503404</c:v>
                </c:pt>
                <c:pt idx="27">
                  <c:v>1.1147286821705422</c:v>
                </c:pt>
                <c:pt idx="28">
                  <c:v>0.71398747390396644</c:v>
                </c:pt>
                <c:pt idx="29">
                  <c:v>0.68067978533094786</c:v>
                </c:pt>
                <c:pt idx="30">
                  <c:v>0.7118518518518524</c:v>
                </c:pt>
                <c:pt idx="31">
                  <c:v>0.82460732984293195</c:v>
                </c:pt>
                <c:pt idx="32">
                  <c:v>1.0246831220813877</c:v>
                </c:pt>
                <c:pt idx="33">
                  <c:v>1.1882693700217226</c:v>
                </c:pt>
                <c:pt idx="34">
                  <c:v>1.0381215469613259</c:v>
                </c:pt>
                <c:pt idx="35">
                  <c:v>0.94046968869470249</c:v>
                </c:pt>
                <c:pt idx="36">
                  <c:v>0.71441947565543085</c:v>
                </c:pt>
                <c:pt idx="37">
                  <c:v>0.78318584070796482</c:v>
                </c:pt>
                <c:pt idx="38">
                  <c:v>0.78783151326053047</c:v>
                </c:pt>
                <c:pt idx="39">
                  <c:v>0.76742121615623626</c:v>
                </c:pt>
                <c:pt idx="40">
                  <c:v>0.62751407884151256</c:v>
                </c:pt>
                <c:pt idx="41">
                  <c:v>0.57714676702018541</c:v>
                </c:pt>
                <c:pt idx="42">
                  <c:v>0.67026249550521455</c:v>
                </c:pt>
                <c:pt idx="43">
                  <c:v>0.70420049417578534</c:v>
                </c:pt>
                <c:pt idx="44">
                  <c:v>0.5174714104193131</c:v>
                </c:pt>
                <c:pt idx="45">
                  <c:v>0.46546635182998863</c:v>
                </c:pt>
                <c:pt idx="46">
                  <c:v>0.52719200887902318</c:v>
                </c:pt>
                <c:pt idx="47">
                  <c:v>0.51968503937007904</c:v>
                </c:pt>
                <c:pt idx="48">
                  <c:v>0.56133671742808833</c:v>
                </c:pt>
                <c:pt idx="49">
                  <c:v>0.55028248587570638</c:v>
                </c:pt>
                <c:pt idx="50">
                  <c:v>0.53810975609756118</c:v>
                </c:pt>
                <c:pt idx="51">
                  <c:v>0.67335801987916544</c:v>
                </c:pt>
                <c:pt idx="52">
                  <c:v>0.70704761904761904</c:v>
                </c:pt>
                <c:pt idx="53">
                  <c:v>0.88265635074145743</c:v>
                </c:pt>
                <c:pt idx="54">
                  <c:v>0.67668190725016353</c:v>
                </c:pt>
                <c:pt idx="55">
                  <c:v>0.3265445832620229</c:v>
                </c:pt>
                <c:pt idx="56">
                  <c:v>0.28859483301827354</c:v>
                </c:pt>
                <c:pt idx="57">
                  <c:v>0.27661679238283643</c:v>
                </c:pt>
                <c:pt idx="58">
                  <c:v>0.32831157236915604</c:v>
                </c:pt>
                <c:pt idx="59">
                  <c:v>0.3981089333202007</c:v>
                </c:pt>
                <c:pt idx="60">
                  <c:v>0.54153522607781268</c:v>
                </c:pt>
              </c:numCache>
            </c:numRef>
          </c:xVal>
          <c:yVal>
            <c:numRef>
              <c:f>'prod invest, div., borrow'!$W$6:$W$66</c:f>
              <c:numCache>
                <c:formatCode>0.0%</c:formatCode>
                <c:ptCount val="61"/>
                <c:pt idx="0">
                  <c:v>7.7464788732394069E-2</c:v>
                </c:pt>
                <c:pt idx="1">
                  <c:v>-0.17788461538461597</c:v>
                </c:pt>
                <c:pt idx="2">
                  <c:v>-0.28365384615384681</c:v>
                </c:pt>
                <c:pt idx="3">
                  <c:v>-0.13567839195979858</c:v>
                </c:pt>
                <c:pt idx="4">
                  <c:v>-3.9024390243902286E-2</c:v>
                </c:pt>
                <c:pt idx="5">
                  <c:v>-8.2191780821917818E-2</c:v>
                </c:pt>
                <c:pt idx="6">
                  <c:v>9.3896713615029843E-3</c:v>
                </c:pt>
                <c:pt idx="7">
                  <c:v>-0.12663755458515305</c:v>
                </c:pt>
                <c:pt idx="8">
                  <c:v>-0.21678321678321683</c:v>
                </c:pt>
                <c:pt idx="9">
                  <c:v>-2.4734982332155566E-2</c:v>
                </c:pt>
                <c:pt idx="10">
                  <c:v>1.7361111111111865E-2</c:v>
                </c:pt>
                <c:pt idx="11">
                  <c:v>-0.1348314606741576</c:v>
                </c:pt>
                <c:pt idx="12">
                  <c:v>-0.22891566265060137</c:v>
                </c:pt>
                <c:pt idx="13">
                  <c:v>-0.12765957446808421</c:v>
                </c:pt>
                <c:pt idx="14">
                  <c:v>-0.17629179331307052</c:v>
                </c:pt>
                <c:pt idx="15">
                  <c:v>-0.23785166240409225</c:v>
                </c:pt>
                <c:pt idx="16">
                  <c:v>-0.24880382775119594</c:v>
                </c:pt>
                <c:pt idx="17">
                  <c:v>-0.21199143468950751</c:v>
                </c:pt>
                <c:pt idx="18">
                  <c:v>-0.16666666666666669</c:v>
                </c:pt>
                <c:pt idx="19">
                  <c:v>-0.10016977928692745</c:v>
                </c:pt>
                <c:pt idx="20">
                  <c:v>-0.10553633217993136</c:v>
                </c:pt>
                <c:pt idx="21">
                  <c:v>-2.5684931506849439E-2</c:v>
                </c:pt>
                <c:pt idx="22">
                  <c:v>0.11913357400721873</c:v>
                </c:pt>
                <c:pt idx="23">
                  <c:v>0.22580645161290416</c:v>
                </c:pt>
                <c:pt idx="24">
                  <c:v>1.6528925619831406E-3</c:v>
                </c:pt>
                <c:pt idx="25">
                  <c:v>-1.6973125884017639E-2</c:v>
                </c:pt>
                <c:pt idx="26">
                  <c:v>0.15543328748280502</c:v>
                </c:pt>
                <c:pt idx="27">
                  <c:v>0.4790697674418597</c:v>
                </c:pt>
                <c:pt idx="28">
                  <c:v>-1.0438413361169104E-2</c:v>
                </c:pt>
                <c:pt idx="29">
                  <c:v>-5.0089445438282969E-2</c:v>
                </c:pt>
                <c:pt idx="30">
                  <c:v>-3.8518518518517814E-2</c:v>
                </c:pt>
                <c:pt idx="31">
                  <c:v>8.3769633507853519E-2</c:v>
                </c:pt>
                <c:pt idx="32">
                  <c:v>0.30153435623749197</c:v>
                </c:pt>
                <c:pt idx="33">
                  <c:v>0.53077480086893403</c:v>
                </c:pt>
                <c:pt idx="34">
                  <c:v>0.36022099447513806</c:v>
                </c:pt>
                <c:pt idx="35">
                  <c:v>0.2752594210813763</c:v>
                </c:pt>
                <c:pt idx="36">
                  <c:v>4.8220973782772042E-2</c:v>
                </c:pt>
                <c:pt idx="37">
                  <c:v>9.8954143201930508E-2</c:v>
                </c:pt>
                <c:pt idx="38">
                  <c:v>0.12207488299531986</c:v>
                </c:pt>
                <c:pt idx="39">
                  <c:v>0.15934309809143507</c:v>
                </c:pt>
                <c:pt idx="40">
                  <c:v>1.2067578439260327E-2</c:v>
                </c:pt>
                <c:pt idx="41">
                  <c:v>-8.7581252138213925E-2</c:v>
                </c:pt>
              </c:numCache>
            </c:numRef>
          </c:yVal>
          <c:smooth val="0"/>
        </c:ser>
        <c:ser>
          <c:idx val="3"/>
          <c:order val="1"/>
          <c:tx>
            <c:v> 1989-2007</c:v>
          </c:tx>
          <c:spPr>
            <a:ln w="28575">
              <a:noFill/>
            </a:ln>
          </c:spPr>
          <c:marker>
            <c:symbol val="circle"/>
            <c:size val="6"/>
            <c:spPr>
              <a:solidFill>
                <a:sysClr val="window" lastClr="FFFFFF"/>
              </a:solidFill>
              <a:ln w="12700">
                <a:solidFill>
                  <a:sysClr val="windowText" lastClr="000000"/>
                </a:solidFill>
              </a:ln>
            </c:spPr>
          </c:marker>
          <c:trendline>
            <c:spPr>
              <a:ln w="15875">
                <a:solidFill>
                  <a:schemeClr val="bg1">
                    <a:lumMod val="50000"/>
                  </a:schemeClr>
                </a:solidFill>
                <a:prstDash val="sysDash"/>
              </a:ln>
            </c:spPr>
            <c:trendlineType val="linear"/>
            <c:dispRSqr val="0"/>
            <c:dispEq val="0"/>
          </c:trendline>
          <c:xVal>
            <c:numRef>
              <c:f>'prod invest, div., borrow'!$U$6:$U$66</c:f>
              <c:numCache>
                <c:formatCode>0.0%</c:formatCode>
                <c:ptCount val="61"/>
                <c:pt idx="0">
                  <c:v>0.68309859154929564</c:v>
                </c:pt>
                <c:pt idx="1">
                  <c:v>0.52403846153846134</c:v>
                </c:pt>
                <c:pt idx="2">
                  <c:v>0.4086538461538457</c:v>
                </c:pt>
                <c:pt idx="3">
                  <c:v>0.46733668341708529</c:v>
                </c:pt>
                <c:pt idx="4">
                  <c:v>0.6000000000000002</c:v>
                </c:pt>
                <c:pt idx="5">
                  <c:v>0.57534246575342474</c:v>
                </c:pt>
                <c:pt idx="6">
                  <c:v>0.64319248826291131</c:v>
                </c:pt>
                <c:pt idx="7">
                  <c:v>0.52838427947598243</c:v>
                </c:pt>
                <c:pt idx="8">
                  <c:v>0.47202797202797214</c:v>
                </c:pt>
                <c:pt idx="9">
                  <c:v>0.63957597173144876</c:v>
                </c:pt>
                <c:pt idx="10">
                  <c:v>0.6736111111111116</c:v>
                </c:pt>
                <c:pt idx="11">
                  <c:v>0.49812734082396976</c:v>
                </c:pt>
                <c:pt idx="12">
                  <c:v>0.44879518072289282</c:v>
                </c:pt>
                <c:pt idx="13">
                  <c:v>0.52583586626139833</c:v>
                </c:pt>
                <c:pt idx="14">
                  <c:v>0.47416413373860195</c:v>
                </c:pt>
                <c:pt idx="15">
                  <c:v>0.44501278772378466</c:v>
                </c:pt>
                <c:pt idx="16">
                  <c:v>0.42583732057416313</c:v>
                </c:pt>
                <c:pt idx="17">
                  <c:v>0.46680942184154167</c:v>
                </c:pt>
                <c:pt idx="18">
                  <c:v>0.52380952380952384</c:v>
                </c:pt>
                <c:pt idx="19">
                  <c:v>0.5976230899830216</c:v>
                </c:pt>
                <c:pt idx="20">
                  <c:v>0.57785467128027612</c:v>
                </c:pt>
                <c:pt idx="21">
                  <c:v>0.62842465753424637</c:v>
                </c:pt>
                <c:pt idx="22">
                  <c:v>0.75090252707581151</c:v>
                </c:pt>
                <c:pt idx="23">
                  <c:v>0.81451612903225878</c:v>
                </c:pt>
                <c:pt idx="24">
                  <c:v>0.66611570247933882</c:v>
                </c:pt>
                <c:pt idx="25">
                  <c:v>0.67326732673267231</c:v>
                </c:pt>
                <c:pt idx="26">
                  <c:v>0.83768913342503404</c:v>
                </c:pt>
                <c:pt idx="27">
                  <c:v>1.1147286821705422</c:v>
                </c:pt>
                <c:pt idx="28">
                  <c:v>0.71398747390396644</c:v>
                </c:pt>
                <c:pt idx="29">
                  <c:v>0.68067978533094786</c:v>
                </c:pt>
                <c:pt idx="30">
                  <c:v>0.7118518518518524</c:v>
                </c:pt>
                <c:pt idx="31">
                  <c:v>0.82460732984293195</c:v>
                </c:pt>
                <c:pt idx="32">
                  <c:v>1.0246831220813877</c:v>
                </c:pt>
                <c:pt idx="33">
                  <c:v>1.1882693700217226</c:v>
                </c:pt>
                <c:pt idx="34">
                  <c:v>1.0381215469613259</c:v>
                </c:pt>
                <c:pt idx="35">
                  <c:v>0.94046968869470249</c:v>
                </c:pt>
                <c:pt idx="36">
                  <c:v>0.71441947565543085</c:v>
                </c:pt>
                <c:pt idx="37">
                  <c:v>0.78318584070796482</c:v>
                </c:pt>
                <c:pt idx="38">
                  <c:v>0.78783151326053047</c:v>
                </c:pt>
                <c:pt idx="39">
                  <c:v>0.76742121615623626</c:v>
                </c:pt>
                <c:pt idx="40">
                  <c:v>0.62751407884151256</c:v>
                </c:pt>
                <c:pt idx="41">
                  <c:v>0.57714676702018541</c:v>
                </c:pt>
                <c:pt idx="42">
                  <c:v>0.67026249550521455</c:v>
                </c:pt>
                <c:pt idx="43">
                  <c:v>0.70420049417578534</c:v>
                </c:pt>
                <c:pt idx="44">
                  <c:v>0.5174714104193131</c:v>
                </c:pt>
                <c:pt idx="45">
                  <c:v>0.46546635182998863</c:v>
                </c:pt>
                <c:pt idx="46">
                  <c:v>0.52719200887902318</c:v>
                </c:pt>
                <c:pt idx="47">
                  <c:v>0.51968503937007904</c:v>
                </c:pt>
                <c:pt idx="48">
                  <c:v>0.56133671742808833</c:v>
                </c:pt>
                <c:pt idx="49">
                  <c:v>0.55028248587570638</c:v>
                </c:pt>
                <c:pt idx="50">
                  <c:v>0.53810975609756118</c:v>
                </c:pt>
                <c:pt idx="51">
                  <c:v>0.67335801987916544</c:v>
                </c:pt>
                <c:pt idx="52">
                  <c:v>0.70704761904761904</c:v>
                </c:pt>
                <c:pt idx="53">
                  <c:v>0.88265635074145743</c:v>
                </c:pt>
                <c:pt idx="54">
                  <c:v>0.67668190725016353</c:v>
                </c:pt>
                <c:pt idx="55">
                  <c:v>0.3265445832620229</c:v>
                </c:pt>
                <c:pt idx="56">
                  <c:v>0.28859483301827354</c:v>
                </c:pt>
                <c:pt idx="57">
                  <c:v>0.27661679238283643</c:v>
                </c:pt>
                <c:pt idx="58">
                  <c:v>0.32831157236915604</c:v>
                </c:pt>
                <c:pt idx="59">
                  <c:v>0.3981089333202007</c:v>
                </c:pt>
                <c:pt idx="60">
                  <c:v>0.54153522607781268</c:v>
                </c:pt>
              </c:numCache>
            </c:numRef>
          </c:xVal>
          <c:yVal>
            <c:numRef>
              <c:f>'prod invest, div., borrow'!$Y$6:$Y$66</c:f>
              <c:numCache>
                <c:formatCode>General</c:formatCode>
                <c:ptCount val="61"/>
                <c:pt idx="42" formatCode="0.0%">
                  <c:v>0.12477526069759141</c:v>
                </c:pt>
                <c:pt idx="43" formatCode="0.0%">
                  <c:v>0.21284857042004912</c:v>
                </c:pt>
                <c:pt idx="44" formatCode="0.0%">
                  <c:v>1.429479034307499E-2</c:v>
                </c:pt>
                <c:pt idx="45" formatCode="0.0%">
                  <c:v>-6.2278630460448056E-2</c:v>
                </c:pt>
                <c:pt idx="46" formatCode="0.0%">
                  <c:v>3.3018867924528406E-2</c:v>
                </c:pt>
                <c:pt idx="47" formatCode="0.0%">
                  <c:v>-8.8284418993073432E-3</c:v>
                </c:pt>
                <c:pt idx="48" formatCode="0.0%">
                  <c:v>3.0033840947546731E-2</c:v>
                </c:pt>
                <c:pt idx="49" formatCode="0.0%">
                  <c:v>3.483992467043337E-2</c:v>
                </c:pt>
                <c:pt idx="50" formatCode="0.0%">
                  <c:v>1.9139566395664668E-2</c:v>
                </c:pt>
                <c:pt idx="51" formatCode="0.0%">
                  <c:v>0.27596959656986914</c:v>
                </c:pt>
                <c:pt idx="52" formatCode="0.0%">
                  <c:v>0.27028571428571391</c:v>
                </c:pt>
                <c:pt idx="53" formatCode="0.0%">
                  <c:v>0.63163550397593049</c:v>
                </c:pt>
                <c:pt idx="54" formatCode="0.0%">
                  <c:v>0.39538428042673579</c:v>
                </c:pt>
                <c:pt idx="55" formatCode="0.0%">
                  <c:v>-7.2394317987335199E-2</c:v>
                </c:pt>
                <c:pt idx="56" formatCode="0.0%">
                  <c:v>-9.2627599243856273E-2</c:v>
                </c:pt>
                <c:pt idx="57" formatCode="0.0%">
                  <c:v>-0.11994559169036741</c:v>
                </c:pt>
                <c:pt idx="58" formatCode="0.0%">
                  <c:v>-0.34081017743555353</c:v>
                </c:pt>
                <c:pt idx="59" formatCode="0.0%">
                  <c:v>1.5561902885846276E-2</c:v>
                </c:pt>
                <c:pt idx="60" formatCode="0.0%">
                  <c:v>0.30061923121860029</c:v>
                </c:pt>
              </c:numCache>
            </c:numRef>
          </c:yVal>
          <c:smooth val="0"/>
        </c:ser>
        <c:dLbls>
          <c:showLegendKey val="0"/>
          <c:showVal val="0"/>
          <c:showCatName val="0"/>
          <c:showSerName val="0"/>
          <c:showPercent val="0"/>
          <c:showBubbleSize val="0"/>
        </c:dLbls>
        <c:axId val="228464896"/>
        <c:axId val="228483456"/>
      </c:scatterChart>
      <c:valAx>
        <c:axId val="228464896"/>
        <c:scaling>
          <c:orientation val="minMax"/>
          <c:max val="1.2"/>
          <c:min val="0.2"/>
        </c:scaling>
        <c:delete val="0"/>
        <c:axPos val="b"/>
        <c:title>
          <c:tx>
            <c:rich>
              <a:bodyPr/>
              <a:lstStyle/>
              <a:p>
                <a:pPr>
                  <a:defRPr/>
                </a:pPr>
                <a:r>
                  <a:rPr lang="en-US"/>
                  <a:t>net investment in production</a:t>
                </a:r>
              </a:p>
            </c:rich>
          </c:tx>
          <c:layout/>
          <c:overlay val="0"/>
        </c:title>
        <c:numFmt formatCode="0%" sourceLinked="0"/>
        <c:majorTickMark val="out"/>
        <c:minorTickMark val="none"/>
        <c:tickLblPos val="low"/>
        <c:crossAx val="228483456"/>
        <c:crosses val="autoZero"/>
        <c:crossBetween val="midCat"/>
      </c:valAx>
      <c:valAx>
        <c:axId val="228483456"/>
        <c:scaling>
          <c:orientation val="minMax"/>
          <c:max val="0.8"/>
          <c:min val="-0.4"/>
        </c:scaling>
        <c:delete val="0"/>
        <c:axPos val="l"/>
        <c:title>
          <c:tx>
            <c:rich>
              <a:bodyPr rot="-5400000" vert="horz"/>
              <a:lstStyle/>
              <a:p>
                <a:pPr>
                  <a:defRPr/>
                </a:pPr>
                <a:r>
                  <a:rPr lang="en-US"/>
                  <a:t>net borrowing</a:t>
                </a:r>
              </a:p>
            </c:rich>
          </c:tx>
          <c:layout/>
          <c:overlay val="0"/>
        </c:title>
        <c:numFmt formatCode="0%" sourceLinked="0"/>
        <c:majorTickMark val="out"/>
        <c:minorTickMark val="none"/>
        <c:tickLblPos val="nextTo"/>
        <c:crossAx val="228464896"/>
        <c:crosses val="autoZero"/>
        <c:crossBetween val="midCat"/>
        <c:majorUnit val="0.2"/>
      </c:valAx>
    </c:plotArea>
    <c:legend>
      <c:legendPos val="r"/>
      <c:legendEntry>
        <c:idx val="2"/>
        <c:delete val="1"/>
      </c:legendEntry>
      <c:legendEntry>
        <c:idx val="3"/>
        <c:delete val="1"/>
      </c:legendEntry>
      <c:layout>
        <c:manualLayout>
          <c:xMode val="edge"/>
          <c:yMode val="edge"/>
          <c:x val="0.84565004374453179"/>
          <c:y val="0.25912948381452316"/>
          <c:w val="0.13212773403324585"/>
          <c:h val="0.44007436570428698"/>
        </c:manualLayout>
      </c:layout>
      <c:overlay val="0"/>
    </c:legend>
    <c:plotVisOnly val="1"/>
    <c:dispBlanksAs val="gap"/>
    <c:showDLblsOverMax val="0"/>
  </c:chart>
  <c:spPr>
    <a:ln>
      <a:noFill/>
    </a:ln>
  </c:spPr>
  <c:txPr>
    <a:bodyPr/>
    <a:lstStyle/>
    <a:p>
      <a:pPr>
        <a:defRPr sz="1200">
          <a:latin typeface="Palatino Linotype" pitchFamily="18"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0.00282</cdr:x>
      <cdr:y>0.8267</cdr:y>
    </cdr:from>
    <cdr:to>
      <cdr:x>1</cdr:x>
      <cdr:y>1</cdr:y>
    </cdr:to>
    <cdr:sp macro="" textlink="">
      <cdr:nvSpPr>
        <cdr:cNvPr id="3" name="TextBox 2"/>
        <cdr:cNvSpPr txBox="1"/>
      </cdr:nvSpPr>
      <cdr:spPr>
        <a:xfrm xmlns:a="http://schemas.openxmlformats.org/drawingml/2006/main">
          <a:off x="16761" y="3362325"/>
          <a:ext cx="5926839" cy="704850"/>
        </a:xfrm>
        <a:prstGeom xmlns:a="http://schemas.openxmlformats.org/drawingml/2006/main" prst="rect">
          <a:avLst/>
        </a:prstGeom>
      </cdr:spPr>
      <cdr:txBody>
        <a:bodyPr xmlns:a="http://schemas.openxmlformats.org/drawingml/2006/main" vertOverflow="clip" wrap="square" tIns="0" bIns="0" rtlCol="0" anchor="b" anchorCtr="0"/>
        <a:lstStyle xmlns:a="http://schemas.openxmlformats.org/drawingml/2006/main"/>
        <a:p xmlns:a="http://schemas.openxmlformats.org/drawingml/2006/main">
          <a:pPr rtl="0"/>
          <a:r>
            <a:rPr lang="en-US" sz="900" b="0" i="0" baseline="0">
              <a:effectLst/>
              <a:latin typeface="Palatino Linotype" pitchFamily="18" charset="0"/>
            </a:rPr>
            <a:t>Note: In the dashed curve, "financial expenditures funded out of profit" are the difference between after-tax profit and net (productive) investment, while </a:t>
          </a:r>
          <a:r>
            <a:rPr lang="en-US" sz="900" b="0" i="0" baseline="0">
              <a:effectLst/>
              <a:latin typeface="Palatino Linotype" pitchFamily="18" charset="0"/>
              <a:ea typeface="+mn-ea"/>
              <a:cs typeface="+mn-cs"/>
            </a:rPr>
            <a:t>"financial expenditures" are the sum of net dividend payments and net acquisition of financial assets. In the solid curve, stock buybacks are added to the denominator, and net interest (and miscellaneous) payments are added to both the numerator and the denominator.</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B46C-4BAC-4144-B6D2-BDB81394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8847</Words>
  <Characters>50428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59157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Antichrist</cp:lastModifiedBy>
  <cp:revision>2</cp:revision>
  <cp:lastPrinted>2012-06-10T20:45:00Z</cp:lastPrinted>
  <dcterms:created xsi:type="dcterms:W3CDTF">2012-06-11T01:44:00Z</dcterms:created>
  <dcterms:modified xsi:type="dcterms:W3CDTF">2012-06-11T01:44:00Z</dcterms:modified>
</cp:coreProperties>
</file>